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82711" w14:textId="77DB7E9B" w:rsidR="00ED4AC0" w:rsidRPr="00C94E2F" w:rsidRDefault="00ED4AC0" w:rsidP="00ED4AC0">
      <w:pPr>
        <w:rPr>
          <w:b/>
          <w:bCs/>
          <w:lang w:val="en-US"/>
        </w:rPr>
      </w:pPr>
      <w:r w:rsidRPr="00C94E2F">
        <w:rPr>
          <w:b/>
          <w:bCs/>
          <w:lang w:val="en-US"/>
        </w:rPr>
        <w:t xml:space="preserve">Attachment </w:t>
      </w:r>
      <w:r>
        <w:rPr>
          <w:b/>
          <w:bCs/>
          <w:lang w:val="en-US"/>
        </w:rPr>
        <w:t>B</w:t>
      </w:r>
      <w:r w:rsidRPr="00C94E2F">
        <w:rPr>
          <w:b/>
          <w:bCs/>
          <w:lang w:val="en-US"/>
        </w:rPr>
        <w:t xml:space="preserve"> – </w:t>
      </w:r>
      <w:r>
        <w:rPr>
          <w:b/>
          <w:bCs/>
          <w:lang w:val="en-US"/>
        </w:rPr>
        <w:t>Assessment against the development standards in SEPP (</w:t>
      </w:r>
      <w:r w:rsidR="00180E09">
        <w:rPr>
          <w:b/>
          <w:bCs/>
          <w:lang w:val="en-US"/>
        </w:rPr>
        <w:t>Housing</w:t>
      </w:r>
      <w:bookmarkStart w:id="0" w:name="_GoBack"/>
      <w:bookmarkEnd w:id="0"/>
      <w:r>
        <w:rPr>
          <w:b/>
          <w:bCs/>
          <w:lang w:val="en-US"/>
        </w:rPr>
        <w:t>) 2021</w:t>
      </w:r>
    </w:p>
    <w:p w14:paraId="417FB6EE" w14:textId="61823EDA" w:rsidR="00EC6B76" w:rsidRDefault="00ED4AC0" w:rsidP="00C94E2F">
      <w:r>
        <w:t xml:space="preserve">The development gains permissibility through </w:t>
      </w:r>
      <w:r w:rsidR="00EC6B76" w:rsidRPr="00C94E2F">
        <w:rPr>
          <w:i/>
        </w:rPr>
        <w:t>Lake Macquarie Local Environment Plan</w:t>
      </w:r>
      <w:r w:rsidR="00C94E2F" w:rsidRPr="00C94E2F">
        <w:rPr>
          <w:i/>
        </w:rPr>
        <w:t xml:space="preserve"> 2014</w:t>
      </w:r>
      <w:r w:rsidR="00EC6B76">
        <w:t xml:space="preserve">. </w:t>
      </w:r>
      <w:r w:rsidRPr="00ED4AC0">
        <w:rPr>
          <w:i/>
        </w:rPr>
        <w:t>SEPP</w:t>
      </w:r>
      <w:r w:rsidR="00180E09">
        <w:rPr>
          <w:i/>
        </w:rPr>
        <w:t xml:space="preserve"> </w:t>
      </w:r>
      <w:r w:rsidRPr="00ED4AC0">
        <w:rPr>
          <w:i/>
        </w:rPr>
        <w:t>(Housing) 2021</w:t>
      </w:r>
      <w:r>
        <w:t xml:space="preserve"> is used as an assessment guide for this application</w:t>
      </w:r>
      <w:r w:rsidR="00EC6B76">
        <w:t>.</w:t>
      </w:r>
    </w:p>
    <w:tbl>
      <w:tblPr>
        <w:tblStyle w:val="TableGrid"/>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639"/>
        <w:gridCol w:w="1134"/>
      </w:tblGrid>
      <w:tr w:rsidR="00EC6B76" w14:paraId="093BFFAE" w14:textId="77777777" w:rsidTr="00ED4AC0">
        <w:tc>
          <w:tcPr>
            <w:tcW w:w="3119" w:type="dxa"/>
            <w:shd w:val="clear" w:color="auto" w:fill="BFBFBF" w:themeFill="background1" w:themeFillShade="BF"/>
          </w:tcPr>
          <w:p w14:paraId="5B9996AF" w14:textId="77777777" w:rsidR="00EC6B76" w:rsidRPr="00EC6B76" w:rsidRDefault="00EC6B76" w:rsidP="00C94E2F">
            <w:pPr>
              <w:pStyle w:val="FigureCaption"/>
              <w:spacing w:before="0" w:after="160"/>
              <w:ind w:left="0"/>
              <w:rPr>
                <w:rFonts w:ascii="Arial" w:hAnsi="Arial" w:cs="Arial"/>
                <w:bCs/>
                <w:color w:val="auto"/>
                <w:sz w:val="22"/>
                <w:szCs w:val="22"/>
              </w:rPr>
            </w:pPr>
            <w:r w:rsidRPr="00EC6B76">
              <w:rPr>
                <w:rFonts w:ascii="Arial" w:hAnsi="Arial" w:cs="Arial"/>
                <w:bCs/>
                <w:color w:val="auto"/>
                <w:sz w:val="22"/>
                <w:szCs w:val="22"/>
              </w:rPr>
              <w:t>Control</w:t>
            </w:r>
          </w:p>
        </w:tc>
        <w:tc>
          <w:tcPr>
            <w:tcW w:w="9639" w:type="dxa"/>
            <w:shd w:val="clear" w:color="auto" w:fill="BFBFBF" w:themeFill="background1" w:themeFillShade="BF"/>
          </w:tcPr>
          <w:p w14:paraId="2E36A9B1" w14:textId="77777777" w:rsidR="00EC6B76" w:rsidRPr="00EC6B76" w:rsidRDefault="00EC6B76" w:rsidP="00C94E2F">
            <w:pPr>
              <w:pStyle w:val="FigureCaption"/>
              <w:spacing w:before="0" w:after="160"/>
              <w:ind w:left="0"/>
              <w:rPr>
                <w:rFonts w:ascii="Arial" w:hAnsi="Arial" w:cs="Arial"/>
                <w:bCs/>
                <w:color w:val="auto"/>
                <w:sz w:val="22"/>
                <w:szCs w:val="22"/>
              </w:rPr>
            </w:pPr>
            <w:r w:rsidRPr="00EC6B76">
              <w:rPr>
                <w:rFonts w:ascii="Arial" w:hAnsi="Arial" w:cs="Arial"/>
                <w:bCs/>
                <w:color w:val="auto"/>
                <w:sz w:val="22"/>
                <w:szCs w:val="22"/>
              </w:rPr>
              <w:t>Discussion</w:t>
            </w:r>
          </w:p>
        </w:tc>
        <w:tc>
          <w:tcPr>
            <w:tcW w:w="1134" w:type="dxa"/>
            <w:shd w:val="clear" w:color="auto" w:fill="BFBFBF" w:themeFill="background1" w:themeFillShade="BF"/>
          </w:tcPr>
          <w:p w14:paraId="0218B748" w14:textId="77777777" w:rsidR="00EC6B76" w:rsidRPr="00EC6B76" w:rsidRDefault="00EC6B76" w:rsidP="00C94E2F">
            <w:pPr>
              <w:pStyle w:val="FigureCaption"/>
              <w:spacing w:before="0" w:after="160"/>
              <w:ind w:left="0"/>
              <w:rPr>
                <w:rFonts w:ascii="Arial" w:hAnsi="Arial" w:cs="Arial"/>
                <w:bCs/>
                <w:color w:val="auto"/>
                <w:sz w:val="22"/>
                <w:szCs w:val="22"/>
              </w:rPr>
            </w:pPr>
            <w:r w:rsidRPr="00EC6B76">
              <w:rPr>
                <w:rFonts w:ascii="Arial" w:hAnsi="Arial" w:cs="Arial"/>
                <w:bCs/>
                <w:color w:val="auto"/>
                <w:sz w:val="22"/>
                <w:szCs w:val="22"/>
              </w:rPr>
              <w:t>Comply</w:t>
            </w:r>
          </w:p>
        </w:tc>
      </w:tr>
      <w:tr w:rsidR="00EC6B76" w14:paraId="24E0E8B4" w14:textId="77777777" w:rsidTr="00ED4AC0">
        <w:tc>
          <w:tcPr>
            <w:tcW w:w="3119" w:type="dxa"/>
          </w:tcPr>
          <w:p w14:paraId="5DCC645E" w14:textId="77777777" w:rsidR="00C94E2F" w:rsidRPr="00ED4AC0" w:rsidRDefault="00ED4AC0" w:rsidP="00C94E2F">
            <w:pPr>
              <w:rPr>
                <w:rFonts w:cs="Arial"/>
                <w:szCs w:val="22"/>
              </w:rPr>
            </w:pPr>
            <w:r w:rsidRPr="00ED4AC0">
              <w:rPr>
                <w:rFonts w:cs="Arial"/>
                <w:szCs w:val="22"/>
              </w:rPr>
              <w:t>Clause 84 - Development standards general</w:t>
            </w:r>
          </w:p>
        </w:tc>
        <w:tc>
          <w:tcPr>
            <w:tcW w:w="9639" w:type="dxa"/>
          </w:tcPr>
          <w:p w14:paraId="053356CA" w14:textId="77777777" w:rsidR="00ED4AC0" w:rsidRPr="00B87C10" w:rsidRDefault="00ED4AC0" w:rsidP="00ED4AC0">
            <w:pPr>
              <w:rPr>
                <w:rFonts w:cs="Arial"/>
                <w:szCs w:val="22"/>
              </w:rPr>
            </w:pPr>
            <w:r w:rsidRPr="00B87C10">
              <w:rPr>
                <w:rFonts w:cs="Arial"/>
              </w:rPr>
              <w:t>The site has an area of 1.6ha and frontage of 106m which are well in excess of the minimum requirements of 1000m</w:t>
            </w:r>
            <w:r w:rsidRPr="00B87C10">
              <w:rPr>
                <w:rFonts w:cs="Arial"/>
                <w:vertAlign w:val="superscript"/>
              </w:rPr>
              <w:t>2</w:t>
            </w:r>
            <w:r w:rsidRPr="00B87C10">
              <w:rPr>
                <w:rFonts w:cs="Arial"/>
              </w:rPr>
              <w:t xml:space="preserve"> and 20m respectively.</w:t>
            </w:r>
          </w:p>
          <w:p w14:paraId="1D95361D" w14:textId="77777777" w:rsidR="00EC6B76" w:rsidRPr="00614845" w:rsidRDefault="00ED4AC0" w:rsidP="00ED4AC0">
            <w:r w:rsidRPr="00B87C10">
              <w:rPr>
                <w:rFonts w:cs="Arial"/>
              </w:rPr>
              <w:t>No servicing equipment will be located on the roof. The lift overrun is integrated into the roof design and does not form a prominent element.</w:t>
            </w:r>
          </w:p>
        </w:tc>
        <w:tc>
          <w:tcPr>
            <w:tcW w:w="1134" w:type="dxa"/>
          </w:tcPr>
          <w:p w14:paraId="0049A8E4" w14:textId="77777777" w:rsidR="00EC6B76" w:rsidRDefault="00EC6B76" w:rsidP="00C94E2F">
            <w:pPr>
              <w:jc w:val="center"/>
            </w:pPr>
            <w:r>
              <w:t>Y</w:t>
            </w:r>
          </w:p>
        </w:tc>
      </w:tr>
      <w:tr w:rsidR="00EC6B76" w14:paraId="2AA871A8" w14:textId="77777777" w:rsidTr="00ED4AC0">
        <w:tc>
          <w:tcPr>
            <w:tcW w:w="3119" w:type="dxa"/>
          </w:tcPr>
          <w:p w14:paraId="634C0BDE" w14:textId="77777777" w:rsidR="00C94E2F" w:rsidRPr="00ED4AC0" w:rsidRDefault="00ED4AC0" w:rsidP="00C94E2F">
            <w:pPr>
              <w:rPr>
                <w:rFonts w:cs="Arial"/>
                <w:szCs w:val="22"/>
              </w:rPr>
            </w:pPr>
            <w:r w:rsidRPr="00ED4AC0">
              <w:rPr>
                <w:rFonts w:cs="Arial"/>
                <w:color w:val="000000" w:themeColor="text1"/>
                <w:szCs w:val="22"/>
              </w:rPr>
              <w:t>Clause 85 - Development standards for hotels and independent living units</w:t>
            </w:r>
          </w:p>
        </w:tc>
        <w:tc>
          <w:tcPr>
            <w:tcW w:w="9639" w:type="dxa"/>
          </w:tcPr>
          <w:p w14:paraId="77704100" w14:textId="77777777" w:rsidR="00ED4AC0" w:rsidRDefault="00ED4AC0" w:rsidP="00ED4AC0">
            <w:pPr>
              <w:pStyle w:val="FigureCaption"/>
              <w:spacing w:before="0" w:after="160"/>
              <w:ind w:left="0"/>
              <w:jc w:val="left"/>
              <w:rPr>
                <w:rFonts w:ascii="Arial" w:hAnsi="Arial" w:cs="Arial"/>
                <w:b w:val="0"/>
                <w:bCs/>
                <w:color w:val="000000" w:themeColor="text1"/>
                <w:sz w:val="22"/>
                <w:szCs w:val="22"/>
                <w:lang w:val="en-AU"/>
              </w:rPr>
            </w:pPr>
            <w:r w:rsidRPr="00400BD9">
              <w:rPr>
                <w:rFonts w:ascii="Arial" w:hAnsi="Arial" w:cs="Arial"/>
                <w:b w:val="0"/>
                <w:bCs/>
                <w:color w:val="000000" w:themeColor="text1"/>
                <w:sz w:val="22"/>
                <w:szCs w:val="22"/>
                <w:lang w:val="en-AU"/>
              </w:rPr>
              <w:t xml:space="preserve">This cause does not allow consent to be granted for independent living units </w:t>
            </w:r>
            <w:r>
              <w:rPr>
                <w:rFonts w:ascii="Arial" w:hAnsi="Arial" w:cs="Arial"/>
                <w:b w:val="0"/>
                <w:bCs/>
                <w:color w:val="000000" w:themeColor="text1"/>
                <w:sz w:val="22"/>
                <w:szCs w:val="22"/>
                <w:lang w:val="en-AU"/>
              </w:rPr>
              <w:t>unl</w:t>
            </w:r>
            <w:r w:rsidRPr="00400BD9">
              <w:rPr>
                <w:rFonts w:ascii="Arial" w:hAnsi="Arial" w:cs="Arial"/>
                <w:b w:val="0"/>
                <w:bCs/>
                <w:color w:val="000000" w:themeColor="text1"/>
                <w:sz w:val="22"/>
                <w:szCs w:val="22"/>
                <w:lang w:val="en-AU"/>
              </w:rPr>
              <w:t xml:space="preserve">ess it complies with the accessibility standards in Schedule 4. </w:t>
            </w:r>
          </w:p>
          <w:p w14:paraId="287A98C9" w14:textId="77777777" w:rsidR="00ED4AC0" w:rsidRDefault="00ED4AC0" w:rsidP="00ED4AC0">
            <w:pPr>
              <w:pStyle w:val="FigureCaption"/>
              <w:spacing w:before="0" w:after="160"/>
              <w:ind w:left="0"/>
              <w:jc w:val="left"/>
              <w:rPr>
                <w:rFonts w:ascii="Arial" w:hAnsi="Arial" w:cs="Arial"/>
                <w:b w:val="0"/>
                <w:bCs/>
                <w:color w:val="000000" w:themeColor="text1"/>
                <w:sz w:val="22"/>
                <w:szCs w:val="22"/>
                <w:lang w:val="en-AU"/>
              </w:rPr>
            </w:pPr>
            <w:r w:rsidRPr="00400BD9">
              <w:rPr>
                <w:rFonts w:ascii="Arial" w:hAnsi="Arial" w:cs="Arial"/>
                <w:b w:val="0"/>
                <w:bCs/>
                <w:color w:val="000000" w:themeColor="text1"/>
                <w:sz w:val="22"/>
                <w:szCs w:val="22"/>
                <w:lang w:val="en-AU"/>
              </w:rPr>
              <w:t xml:space="preserve">The </w:t>
            </w:r>
            <w:r>
              <w:rPr>
                <w:rFonts w:ascii="Arial" w:hAnsi="Arial" w:cs="Arial"/>
                <w:b w:val="0"/>
                <w:bCs/>
                <w:color w:val="000000" w:themeColor="text1"/>
                <w:sz w:val="22"/>
                <w:szCs w:val="22"/>
                <w:lang w:val="en-AU"/>
              </w:rPr>
              <w:t xml:space="preserve">Disability Access Report </w:t>
            </w:r>
            <w:r w:rsidRPr="00400BD9">
              <w:rPr>
                <w:rFonts w:ascii="Arial" w:hAnsi="Arial" w:cs="Arial"/>
                <w:b w:val="0"/>
                <w:bCs/>
                <w:color w:val="000000" w:themeColor="text1"/>
                <w:sz w:val="22"/>
                <w:szCs w:val="22"/>
                <w:lang w:val="en-AU"/>
              </w:rPr>
              <w:t>prepared by Lind</w:t>
            </w:r>
            <w:r>
              <w:rPr>
                <w:rFonts w:ascii="Arial" w:hAnsi="Arial" w:cs="Arial"/>
                <w:b w:val="0"/>
                <w:bCs/>
                <w:color w:val="000000" w:themeColor="text1"/>
                <w:sz w:val="22"/>
                <w:szCs w:val="22"/>
                <w:lang w:val="en-AU"/>
              </w:rPr>
              <w:t>s</w:t>
            </w:r>
            <w:r w:rsidRPr="00400BD9">
              <w:rPr>
                <w:rFonts w:ascii="Arial" w:hAnsi="Arial" w:cs="Arial"/>
                <w:b w:val="0"/>
                <w:bCs/>
                <w:color w:val="000000" w:themeColor="text1"/>
                <w:sz w:val="22"/>
                <w:szCs w:val="22"/>
                <w:lang w:val="en-AU"/>
              </w:rPr>
              <w:t>ay Perry Access confirms the development’s capability to comply with accessibility requirements in this policy</w:t>
            </w:r>
            <w:r>
              <w:rPr>
                <w:rFonts w:ascii="Arial" w:hAnsi="Arial" w:cs="Arial"/>
                <w:b w:val="0"/>
                <w:bCs/>
                <w:color w:val="000000" w:themeColor="text1"/>
                <w:sz w:val="22"/>
                <w:szCs w:val="22"/>
                <w:lang w:val="en-AU"/>
              </w:rPr>
              <w:t xml:space="preserve">. </w:t>
            </w:r>
          </w:p>
          <w:p w14:paraId="02440D32" w14:textId="77777777" w:rsidR="00EC6B76" w:rsidRPr="00ED4AC0" w:rsidRDefault="00ED4AC0" w:rsidP="00ED4AC0">
            <w:r w:rsidRPr="00ED4AC0">
              <w:rPr>
                <w:rFonts w:cs="Arial"/>
                <w:bCs/>
                <w:color w:val="000000" w:themeColor="text1"/>
                <w:szCs w:val="22"/>
              </w:rPr>
              <w:t>Conditions will be imposed to ensure schedule 4 requirements are addressed at the CC stage.</w:t>
            </w:r>
          </w:p>
        </w:tc>
        <w:tc>
          <w:tcPr>
            <w:tcW w:w="1134" w:type="dxa"/>
          </w:tcPr>
          <w:p w14:paraId="07BAF728" w14:textId="77777777" w:rsidR="00EC6B76" w:rsidRDefault="00ED4AC0" w:rsidP="00C94E2F">
            <w:pPr>
              <w:jc w:val="center"/>
            </w:pPr>
            <w:r>
              <w:t>Y</w:t>
            </w:r>
          </w:p>
        </w:tc>
      </w:tr>
      <w:tr w:rsidR="00ED4AC0" w14:paraId="55C8B5A1" w14:textId="77777777" w:rsidTr="00ED4AC0">
        <w:tc>
          <w:tcPr>
            <w:tcW w:w="3119" w:type="dxa"/>
          </w:tcPr>
          <w:p w14:paraId="1B1D0660" w14:textId="77777777" w:rsidR="00ED4AC0" w:rsidRPr="00400BD9" w:rsidRDefault="00ED4AC0" w:rsidP="00ED4AC0">
            <w:pPr>
              <w:pStyle w:val="FigureCaption"/>
              <w:spacing w:before="0" w:after="160"/>
              <w:ind w:left="0"/>
              <w:jc w:val="left"/>
              <w:rPr>
                <w:rFonts w:ascii="Arial" w:hAnsi="Arial" w:cs="Arial"/>
                <w:b w:val="0"/>
                <w:color w:val="000000" w:themeColor="text1"/>
                <w:sz w:val="22"/>
                <w:szCs w:val="22"/>
              </w:rPr>
            </w:pPr>
            <w:r w:rsidRPr="00400BD9">
              <w:rPr>
                <w:rFonts w:ascii="Arial" w:hAnsi="Arial" w:cs="Arial"/>
                <w:b w:val="0"/>
                <w:color w:val="000000" w:themeColor="text1"/>
                <w:sz w:val="22"/>
                <w:szCs w:val="22"/>
              </w:rPr>
              <w:t xml:space="preserve">Clause 88 - Restriction on occupation </w:t>
            </w:r>
          </w:p>
        </w:tc>
        <w:tc>
          <w:tcPr>
            <w:tcW w:w="9639" w:type="dxa"/>
          </w:tcPr>
          <w:p w14:paraId="438A5EFD" w14:textId="77777777" w:rsidR="00ED4AC0" w:rsidRPr="00872E49" w:rsidRDefault="00ED4AC0" w:rsidP="00ED4AC0">
            <w:pPr>
              <w:pStyle w:val="FigureCaption"/>
              <w:spacing w:before="0" w:after="160"/>
              <w:ind w:left="0"/>
              <w:jc w:val="left"/>
              <w:rPr>
                <w:rFonts w:ascii="Arial" w:hAnsi="Arial" w:cs="Arial"/>
                <w:b w:val="0"/>
                <w:color w:val="000000" w:themeColor="text1"/>
                <w:sz w:val="22"/>
                <w:szCs w:val="22"/>
              </w:rPr>
            </w:pPr>
            <w:r w:rsidRPr="00872E49">
              <w:rPr>
                <w:rFonts w:ascii="Arial" w:hAnsi="Arial" w:cs="Arial"/>
                <w:b w:val="0"/>
                <w:color w:val="auto"/>
                <w:sz w:val="22"/>
                <w:szCs w:val="22"/>
              </w:rPr>
              <w:t>A condition to limit the occupancy to seniors and people with disability and their carers will be imposed, to meet the requirement of this clause.</w:t>
            </w:r>
          </w:p>
        </w:tc>
        <w:tc>
          <w:tcPr>
            <w:tcW w:w="1134" w:type="dxa"/>
          </w:tcPr>
          <w:p w14:paraId="2E6AE465" w14:textId="77777777" w:rsidR="00ED4AC0" w:rsidRPr="00AE74CE" w:rsidRDefault="00ED4AC0" w:rsidP="00ED4AC0">
            <w:pPr>
              <w:pStyle w:val="FigureCaption"/>
              <w:spacing w:before="0" w:after="160"/>
              <w:ind w:left="0"/>
              <w:rPr>
                <w:rFonts w:ascii="Arial" w:hAnsi="Arial" w:cs="Arial"/>
                <w:b w:val="0"/>
                <w:color w:val="000000" w:themeColor="text1"/>
                <w:sz w:val="22"/>
                <w:szCs w:val="22"/>
                <w:highlight w:val="yellow"/>
              </w:rPr>
            </w:pPr>
            <w:r w:rsidRPr="004F197D">
              <w:rPr>
                <w:rFonts w:ascii="Arial" w:hAnsi="Arial" w:cs="Arial"/>
                <w:b w:val="0"/>
                <w:color w:val="000000" w:themeColor="text1"/>
                <w:sz w:val="22"/>
                <w:szCs w:val="22"/>
              </w:rPr>
              <w:t>Y</w:t>
            </w:r>
          </w:p>
        </w:tc>
      </w:tr>
      <w:tr w:rsidR="00ED4AC0" w14:paraId="7E710F7F" w14:textId="77777777" w:rsidTr="00ED4AC0">
        <w:tc>
          <w:tcPr>
            <w:tcW w:w="3119" w:type="dxa"/>
          </w:tcPr>
          <w:p w14:paraId="0FECD182" w14:textId="77777777" w:rsidR="00ED4AC0" w:rsidRPr="008469E6" w:rsidRDefault="00ED4AC0" w:rsidP="00ED4AC0">
            <w:pPr>
              <w:pStyle w:val="FigureCaption"/>
              <w:spacing w:before="0" w:after="160"/>
              <w:ind w:left="0"/>
              <w:jc w:val="left"/>
              <w:rPr>
                <w:rFonts w:ascii="Arial" w:hAnsi="Arial" w:cs="Arial"/>
                <w:b w:val="0"/>
                <w:color w:val="auto"/>
                <w:sz w:val="22"/>
                <w:szCs w:val="22"/>
                <w:highlight w:val="yellow"/>
              </w:rPr>
            </w:pPr>
            <w:r w:rsidRPr="008469E6">
              <w:rPr>
                <w:rFonts w:ascii="Arial" w:hAnsi="Arial" w:cs="Arial"/>
                <w:b w:val="0"/>
                <w:color w:val="auto"/>
                <w:sz w:val="22"/>
                <w:szCs w:val="22"/>
              </w:rPr>
              <w:t xml:space="preserve">Clause 89 - </w:t>
            </w:r>
            <w:r>
              <w:rPr>
                <w:rFonts w:ascii="Arial" w:hAnsi="Arial" w:cs="Arial"/>
                <w:b w:val="0"/>
                <w:color w:val="auto"/>
                <w:sz w:val="22"/>
                <w:szCs w:val="22"/>
              </w:rPr>
              <w:t>Restriction on the u</w:t>
            </w:r>
            <w:r w:rsidRPr="008469E6">
              <w:rPr>
                <w:rFonts w:ascii="Arial" w:hAnsi="Arial" w:cs="Arial"/>
                <w:b w:val="0"/>
                <w:color w:val="auto"/>
                <w:sz w:val="22"/>
                <w:szCs w:val="22"/>
              </w:rPr>
              <w:t>se of ground floor</w:t>
            </w:r>
            <w:r>
              <w:rPr>
                <w:rFonts w:ascii="Arial" w:hAnsi="Arial" w:cs="Arial"/>
                <w:b w:val="0"/>
                <w:color w:val="auto"/>
                <w:sz w:val="22"/>
                <w:szCs w:val="22"/>
              </w:rPr>
              <w:t xml:space="preserve"> for seniors housing</w:t>
            </w:r>
          </w:p>
        </w:tc>
        <w:tc>
          <w:tcPr>
            <w:tcW w:w="9639" w:type="dxa"/>
          </w:tcPr>
          <w:p w14:paraId="0B2E30E9" w14:textId="77777777" w:rsidR="00ED4AC0" w:rsidRPr="00872E49" w:rsidRDefault="00ED4AC0" w:rsidP="00ED4AC0">
            <w:pPr>
              <w:pStyle w:val="FigureCaption"/>
              <w:spacing w:before="0" w:after="160"/>
              <w:ind w:left="0"/>
              <w:jc w:val="left"/>
              <w:rPr>
                <w:rFonts w:ascii="Arial" w:hAnsi="Arial" w:cs="Arial"/>
                <w:b w:val="0"/>
                <w:color w:val="auto"/>
                <w:sz w:val="22"/>
                <w:szCs w:val="22"/>
              </w:rPr>
            </w:pPr>
            <w:r w:rsidRPr="00872E49">
              <w:rPr>
                <w:rFonts w:ascii="Arial" w:hAnsi="Arial" w:cs="Arial"/>
                <w:b w:val="0"/>
                <w:color w:val="auto"/>
                <w:sz w:val="22"/>
                <w:szCs w:val="22"/>
              </w:rPr>
              <w:t>This clause prohibits seniors housing at ground floor level at the frontage unless it is permitted in another environmental planning instrument.</w:t>
            </w:r>
          </w:p>
          <w:p w14:paraId="06171578" w14:textId="77777777" w:rsidR="00ED4AC0" w:rsidRPr="00872E49" w:rsidRDefault="00ED4AC0" w:rsidP="00ED4AC0">
            <w:pPr>
              <w:pStyle w:val="FigureCaption"/>
              <w:spacing w:before="0" w:after="160"/>
              <w:ind w:left="0"/>
              <w:jc w:val="left"/>
              <w:rPr>
                <w:rFonts w:ascii="Arial" w:hAnsi="Arial" w:cs="Arial"/>
                <w:color w:val="auto"/>
                <w:sz w:val="22"/>
                <w:szCs w:val="22"/>
                <w:highlight w:val="yellow"/>
              </w:rPr>
            </w:pPr>
            <w:r w:rsidRPr="00872E49">
              <w:rPr>
                <w:rFonts w:ascii="Arial" w:hAnsi="Arial" w:cs="Arial"/>
                <w:b w:val="0"/>
                <w:color w:val="auto"/>
                <w:sz w:val="22"/>
                <w:szCs w:val="22"/>
              </w:rPr>
              <w:t xml:space="preserve">Clause 7.10(4) of </w:t>
            </w:r>
            <w:r w:rsidRPr="00872E49">
              <w:rPr>
                <w:rFonts w:ascii="Arial" w:hAnsi="Arial" w:cs="Arial"/>
                <w:b w:val="0"/>
                <w:i/>
                <w:color w:val="auto"/>
                <w:sz w:val="22"/>
                <w:szCs w:val="22"/>
              </w:rPr>
              <w:t>LMLEP</w:t>
            </w:r>
            <w:r w:rsidRPr="00872E49">
              <w:rPr>
                <w:rFonts w:ascii="Arial" w:hAnsi="Arial" w:cs="Arial"/>
                <w:b w:val="0"/>
                <w:color w:val="auto"/>
                <w:sz w:val="22"/>
                <w:szCs w:val="22"/>
              </w:rPr>
              <w:t xml:space="preserve"> p</w:t>
            </w:r>
            <w:r w:rsidRPr="00872E49">
              <w:rPr>
                <w:rFonts w:ascii="Arial" w:hAnsi="Arial" w:cs="Arial"/>
                <w:b w:val="0"/>
                <w:color w:val="auto"/>
                <w:sz w:val="22"/>
                <w:szCs w:val="22"/>
                <w:shd w:val="clear" w:color="auto" w:fill="FFFFFF"/>
              </w:rPr>
              <w:t>ermits the use of the ground floor of the building for residential purposes and therefore this restriction does not apply to the proposal.</w:t>
            </w:r>
          </w:p>
        </w:tc>
        <w:tc>
          <w:tcPr>
            <w:tcW w:w="1134" w:type="dxa"/>
          </w:tcPr>
          <w:p w14:paraId="3E9F4043" w14:textId="77777777" w:rsidR="00ED4AC0" w:rsidRPr="00AE74CE" w:rsidRDefault="00ED4AC0" w:rsidP="00ED4AC0">
            <w:pPr>
              <w:pStyle w:val="FigureCaption"/>
              <w:spacing w:before="0" w:after="160"/>
              <w:ind w:left="0"/>
              <w:rPr>
                <w:rFonts w:ascii="Arial" w:hAnsi="Arial" w:cs="Arial"/>
                <w:b w:val="0"/>
                <w:color w:val="auto"/>
                <w:sz w:val="22"/>
                <w:szCs w:val="22"/>
                <w:highlight w:val="yellow"/>
              </w:rPr>
            </w:pPr>
            <w:r w:rsidRPr="004F197D">
              <w:rPr>
                <w:rFonts w:ascii="Arial" w:hAnsi="Arial" w:cs="Arial"/>
                <w:b w:val="0"/>
                <w:color w:val="000000" w:themeColor="text1"/>
                <w:sz w:val="22"/>
                <w:szCs w:val="22"/>
              </w:rPr>
              <w:t>Y</w:t>
            </w:r>
          </w:p>
        </w:tc>
      </w:tr>
      <w:tr w:rsidR="00ED4AC0" w14:paraId="3C486E37" w14:textId="77777777" w:rsidTr="00ED4AC0">
        <w:tc>
          <w:tcPr>
            <w:tcW w:w="3119" w:type="dxa"/>
          </w:tcPr>
          <w:p w14:paraId="526C6E13" w14:textId="77777777" w:rsidR="00ED4AC0" w:rsidRPr="00ED4AC0" w:rsidRDefault="00ED4AC0" w:rsidP="00ED4AC0">
            <w:r w:rsidRPr="00ED4AC0">
              <w:rPr>
                <w:rFonts w:cs="Arial"/>
                <w:szCs w:val="22"/>
              </w:rPr>
              <w:t>Clause 93 - Location and access to facilities and services</w:t>
            </w:r>
          </w:p>
        </w:tc>
        <w:tc>
          <w:tcPr>
            <w:tcW w:w="9639" w:type="dxa"/>
          </w:tcPr>
          <w:p w14:paraId="24C7C152" w14:textId="77777777" w:rsidR="00ED4AC0" w:rsidRPr="00195BCE" w:rsidRDefault="00ED4AC0" w:rsidP="00ED4AC0">
            <w:pPr>
              <w:pStyle w:val="FigureCaption"/>
              <w:spacing w:before="0" w:after="160"/>
              <w:ind w:left="0"/>
              <w:jc w:val="left"/>
              <w:rPr>
                <w:rFonts w:ascii="Arial" w:hAnsi="Arial" w:cs="Arial"/>
                <w:b w:val="0"/>
                <w:color w:val="auto"/>
                <w:sz w:val="22"/>
                <w:szCs w:val="22"/>
              </w:rPr>
            </w:pPr>
            <w:r w:rsidRPr="00195BCE">
              <w:rPr>
                <w:rFonts w:ascii="Arial" w:hAnsi="Arial" w:cs="Arial"/>
                <w:b w:val="0"/>
                <w:color w:val="auto"/>
                <w:sz w:val="22"/>
                <w:szCs w:val="22"/>
              </w:rPr>
              <w:t xml:space="preserve">All facilities and services including shops, banking facilities and health care facilities are in the nearby Lake Macquarie Fair Shopping Centre, within 400m of the site. </w:t>
            </w:r>
          </w:p>
          <w:p w14:paraId="1E502847" w14:textId="77777777" w:rsidR="00ED4AC0" w:rsidRDefault="00ED4AC0" w:rsidP="00ED4AC0">
            <w:pPr>
              <w:pStyle w:val="FigureCaption"/>
              <w:spacing w:before="0" w:after="160"/>
              <w:ind w:left="0"/>
              <w:jc w:val="left"/>
              <w:rPr>
                <w:rFonts w:ascii="Arial" w:hAnsi="Arial" w:cs="Arial"/>
                <w:b w:val="0"/>
                <w:color w:val="auto"/>
                <w:sz w:val="22"/>
                <w:szCs w:val="22"/>
              </w:rPr>
            </w:pPr>
            <w:r w:rsidRPr="00195BCE">
              <w:rPr>
                <w:rFonts w:ascii="Arial" w:hAnsi="Arial" w:cs="Arial"/>
                <w:b w:val="0"/>
                <w:color w:val="auto"/>
                <w:sz w:val="22"/>
                <w:szCs w:val="22"/>
              </w:rPr>
              <w:lastRenderedPageBreak/>
              <w:t xml:space="preserve">The </w:t>
            </w:r>
            <w:r>
              <w:rPr>
                <w:rFonts w:ascii="Arial" w:hAnsi="Arial" w:cs="Arial"/>
                <w:b w:val="0"/>
                <w:color w:val="auto"/>
                <w:sz w:val="22"/>
                <w:szCs w:val="22"/>
              </w:rPr>
              <w:t>existing footpath provides an accessible path of travel between the site and shopping centre. Notwithstanding, the proposal will trigger footpath upgrade at the site’s frontage.</w:t>
            </w:r>
          </w:p>
          <w:p w14:paraId="0425FC32" w14:textId="77777777" w:rsidR="00ED4AC0" w:rsidRDefault="00ED4AC0" w:rsidP="00ED4AC0">
            <w:pPr>
              <w:pStyle w:val="FigureCaption"/>
              <w:spacing w:before="0" w:after="160"/>
              <w:ind w:left="0"/>
              <w:jc w:val="left"/>
              <w:rPr>
                <w:rFonts w:ascii="Arial" w:hAnsi="Arial" w:cs="Arial"/>
                <w:b w:val="0"/>
                <w:color w:val="auto"/>
                <w:sz w:val="22"/>
                <w:szCs w:val="22"/>
              </w:rPr>
            </w:pPr>
            <w:r>
              <w:rPr>
                <w:rFonts w:ascii="Arial" w:hAnsi="Arial" w:cs="Arial"/>
                <w:b w:val="0"/>
                <w:color w:val="auto"/>
                <w:sz w:val="22"/>
                <w:szCs w:val="22"/>
              </w:rPr>
              <w:t>Bus stops are located on either side of Wilsons Road near the entry to the shopping centre.</w:t>
            </w:r>
          </w:p>
          <w:p w14:paraId="4048B9D2" w14:textId="77777777" w:rsidR="00ED4AC0" w:rsidRPr="00AE74CE" w:rsidRDefault="00ED4AC0" w:rsidP="00ED4AC0">
            <w:pPr>
              <w:pStyle w:val="FigureCaption"/>
              <w:spacing w:before="0" w:after="160"/>
              <w:ind w:left="0"/>
              <w:jc w:val="left"/>
              <w:rPr>
                <w:rFonts w:ascii="Arial" w:hAnsi="Arial" w:cs="Arial"/>
                <w:b w:val="0"/>
                <w:color w:val="000000" w:themeColor="text1"/>
                <w:sz w:val="22"/>
                <w:szCs w:val="22"/>
                <w:highlight w:val="yellow"/>
              </w:rPr>
            </w:pPr>
            <w:r w:rsidRPr="00195BCE">
              <w:rPr>
                <w:rFonts w:ascii="Arial" w:hAnsi="Arial" w:cs="Arial"/>
                <w:b w:val="0"/>
                <w:color w:val="auto"/>
                <w:sz w:val="22"/>
                <w:szCs w:val="22"/>
              </w:rPr>
              <w:t xml:space="preserve">The development includes generous indoor and outdoor communal areas, a swimming pool and a gym. Ample community facilities and recreational </w:t>
            </w:r>
            <w:r>
              <w:rPr>
                <w:rFonts w:ascii="Arial" w:hAnsi="Arial" w:cs="Arial"/>
                <w:b w:val="0"/>
                <w:color w:val="auto"/>
                <w:sz w:val="22"/>
                <w:szCs w:val="22"/>
              </w:rPr>
              <w:t xml:space="preserve">areas </w:t>
            </w:r>
            <w:r w:rsidRPr="00195BCE">
              <w:rPr>
                <w:rFonts w:ascii="Arial" w:hAnsi="Arial" w:cs="Arial"/>
                <w:b w:val="0"/>
                <w:color w:val="auto"/>
                <w:sz w:val="22"/>
                <w:szCs w:val="22"/>
              </w:rPr>
              <w:t>are also available in the nearby suburb of Windale</w:t>
            </w:r>
            <w:r>
              <w:rPr>
                <w:rFonts w:ascii="Arial" w:hAnsi="Arial" w:cs="Arial"/>
                <w:b w:val="0"/>
                <w:color w:val="auto"/>
                <w:sz w:val="22"/>
                <w:szCs w:val="22"/>
              </w:rPr>
              <w:t>.</w:t>
            </w:r>
            <w:r>
              <w:t xml:space="preserve"> </w:t>
            </w:r>
          </w:p>
        </w:tc>
        <w:tc>
          <w:tcPr>
            <w:tcW w:w="1134" w:type="dxa"/>
          </w:tcPr>
          <w:p w14:paraId="410D74D9" w14:textId="77777777" w:rsidR="00ED4AC0" w:rsidRPr="00AE74CE" w:rsidRDefault="00ED4AC0" w:rsidP="00ED4AC0">
            <w:pPr>
              <w:pStyle w:val="FigureCaption"/>
              <w:spacing w:before="0" w:after="160"/>
              <w:ind w:left="0"/>
              <w:rPr>
                <w:rFonts w:ascii="Arial" w:hAnsi="Arial" w:cs="Arial"/>
                <w:b w:val="0"/>
                <w:color w:val="000000" w:themeColor="text1"/>
                <w:sz w:val="22"/>
                <w:szCs w:val="22"/>
                <w:highlight w:val="yellow"/>
              </w:rPr>
            </w:pPr>
            <w:r w:rsidRPr="00B66E08">
              <w:rPr>
                <w:rFonts w:ascii="Arial" w:hAnsi="Arial" w:cs="Arial"/>
                <w:b w:val="0"/>
                <w:color w:val="000000" w:themeColor="text1"/>
                <w:sz w:val="22"/>
                <w:szCs w:val="22"/>
              </w:rPr>
              <w:lastRenderedPageBreak/>
              <w:t>Y</w:t>
            </w:r>
          </w:p>
        </w:tc>
      </w:tr>
      <w:tr w:rsidR="00ED4AC0" w14:paraId="3E148576" w14:textId="77777777" w:rsidTr="00ED4AC0">
        <w:tc>
          <w:tcPr>
            <w:tcW w:w="3119" w:type="dxa"/>
          </w:tcPr>
          <w:p w14:paraId="41B91576" w14:textId="77777777" w:rsidR="00ED4AC0" w:rsidRPr="00090B0D" w:rsidRDefault="00ED4AC0" w:rsidP="00ED4AC0">
            <w:pPr>
              <w:pStyle w:val="FigureCaption"/>
              <w:spacing w:before="0" w:after="160"/>
              <w:ind w:left="0"/>
              <w:jc w:val="left"/>
              <w:rPr>
                <w:rFonts w:ascii="Arial" w:hAnsi="Arial" w:cs="Arial"/>
                <w:b w:val="0"/>
                <w:color w:val="000000" w:themeColor="text1"/>
                <w:sz w:val="22"/>
                <w:szCs w:val="22"/>
              </w:rPr>
            </w:pPr>
            <w:r w:rsidRPr="00090B0D">
              <w:rPr>
                <w:rFonts w:ascii="Arial" w:hAnsi="Arial" w:cs="Arial"/>
                <w:b w:val="0"/>
                <w:color w:val="auto"/>
                <w:sz w:val="22"/>
                <w:szCs w:val="22"/>
              </w:rPr>
              <w:t>Clause 95 - Water and sewer</w:t>
            </w:r>
          </w:p>
        </w:tc>
        <w:tc>
          <w:tcPr>
            <w:tcW w:w="9639" w:type="dxa"/>
          </w:tcPr>
          <w:p w14:paraId="747935C4" w14:textId="77777777" w:rsidR="00ED4AC0" w:rsidRPr="00090B0D" w:rsidRDefault="00ED4AC0" w:rsidP="00ED4AC0">
            <w:pPr>
              <w:pStyle w:val="FigureCaption"/>
              <w:spacing w:before="0" w:after="160"/>
              <w:ind w:left="0"/>
              <w:jc w:val="left"/>
              <w:rPr>
                <w:rFonts w:ascii="Arial" w:hAnsi="Arial" w:cs="Arial"/>
                <w:b w:val="0"/>
                <w:color w:val="000000" w:themeColor="text1"/>
                <w:sz w:val="22"/>
                <w:szCs w:val="22"/>
                <w:lang w:val="en-AU"/>
              </w:rPr>
            </w:pPr>
            <w:r w:rsidRPr="002A30FC">
              <w:rPr>
                <w:rFonts w:ascii="Arial" w:hAnsi="Arial" w:cs="Arial"/>
                <w:b w:val="0"/>
                <w:color w:val="auto"/>
                <w:sz w:val="22"/>
                <w:szCs w:val="22"/>
              </w:rPr>
              <w:t xml:space="preserve">Reticulated services are available to the site. </w:t>
            </w:r>
          </w:p>
        </w:tc>
        <w:tc>
          <w:tcPr>
            <w:tcW w:w="1134" w:type="dxa"/>
          </w:tcPr>
          <w:p w14:paraId="6910A19A" w14:textId="77777777" w:rsidR="00ED4AC0" w:rsidRPr="00B66E08" w:rsidRDefault="00ED4AC0" w:rsidP="00ED4AC0">
            <w:pPr>
              <w:pStyle w:val="FigureCaption"/>
              <w:spacing w:before="0" w:after="160"/>
              <w:ind w:left="0"/>
              <w:rPr>
                <w:rFonts w:ascii="Arial" w:hAnsi="Arial" w:cs="Arial"/>
                <w:b w:val="0"/>
                <w:color w:val="000000" w:themeColor="text1"/>
                <w:sz w:val="22"/>
                <w:szCs w:val="22"/>
              </w:rPr>
            </w:pPr>
            <w:r>
              <w:rPr>
                <w:rFonts w:ascii="Arial" w:hAnsi="Arial" w:cs="Arial"/>
                <w:b w:val="0"/>
                <w:color w:val="000000" w:themeColor="text1"/>
                <w:sz w:val="22"/>
                <w:szCs w:val="22"/>
              </w:rPr>
              <w:t>Y</w:t>
            </w:r>
          </w:p>
        </w:tc>
      </w:tr>
      <w:tr w:rsidR="00ED4AC0" w14:paraId="5341DB28" w14:textId="77777777" w:rsidTr="00ED4AC0">
        <w:tc>
          <w:tcPr>
            <w:tcW w:w="3119" w:type="dxa"/>
          </w:tcPr>
          <w:p w14:paraId="3450C4A7" w14:textId="77777777" w:rsidR="00ED4AC0" w:rsidRPr="002A30FC" w:rsidRDefault="00ED4AC0" w:rsidP="00ED4AC0">
            <w:pPr>
              <w:pStyle w:val="FigureCaption"/>
              <w:spacing w:before="0" w:after="160"/>
              <w:ind w:left="0"/>
              <w:jc w:val="left"/>
              <w:rPr>
                <w:rFonts w:ascii="Arial" w:hAnsi="Arial" w:cs="Arial"/>
                <w:b w:val="0"/>
                <w:color w:val="000000" w:themeColor="text1"/>
                <w:sz w:val="22"/>
                <w:szCs w:val="22"/>
              </w:rPr>
            </w:pPr>
            <w:r w:rsidRPr="002A30FC">
              <w:rPr>
                <w:rFonts w:ascii="Arial" w:hAnsi="Arial" w:cs="Arial"/>
                <w:b w:val="0"/>
                <w:color w:val="auto"/>
                <w:sz w:val="22"/>
                <w:szCs w:val="22"/>
              </w:rPr>
              <w:t xml:space="preserve">Clause 97 - Design </w:t>
            </w:r>
            <w:r>
              <w:rPr>
                <w:rFonts w:ascii="Arial" w:hAnsi="Arial" w:cs="Arial"/>
                <w:b w:val="0"/>
                <w:color w:val="auto"/>
                <w:sz w:val="22"/>
                <w:szCs w:val="22"/>
              </w:rPr>
              <w:t xml:space="preserve">of infill self-care housing </w:t>
            </w:r>
          </w:p>
        </w:tc>
        <w:tc>
          <w:tcPr>
            <w:tcW w:w="9639" w:type="dxa"/>
          </w:tcPr>
          <w:p w14:paraId="19950AC5" w14:textId="77777777" w:rsidR="00ED4AC0" w:rsidRPr="0094525B" w:rsidRDefault="00ED4AC0" w:rsidP="00ED4AC0">
            <w:pPr>
              <w:pStyle w:val="FigureCaption"/>
              <w:spacing w:before="0" w:after="160"/>
              <w:ind w:left="0"/>
              <w:jc w:val="left"/>
              <w:rPr>
                <w:rFonts w:ascii="Arial" w:hAnsi="Arial" w:cs="Arial"/>
                <w:b w:val="0"/>
                <w:color w:val="000000" w:themeColor="text1"/>
                <w:sz w:val="22"/>
                <w:szCs w:val="22"/>
                <w:lang w:val="en-AU"/>
              </w:rPr>
            </w:pPr>
            <w:r>
              <w:rPr>
                <w:rFonts w:ascii="Arial" w:hAnsi="Arial" w:cs="Arial"/>
                <w:b w:val="0"/>
                <w:color w:val="000000" w:themeColor="text1"/>
                <w:sz w:val="22"/>
                <w:szCs w:val="22"/>
                <w:lang w:val="en-AU"/>
              </w:rPr>
              <w:t>The requirements in Seniors Living Policy: Urban Design Guidelines for Infill Development, March 2004 have been considered and no inconsistency is noted.</w:t>
            </w:r>
          </w:p>
        </w:tc>
        <w:tc>
          <w:tcPr>
            <w:tcW w:w="1134" w:type="dxa"/>
          </w:tcPr>
          <w:p w14:paraId="05CAE1B7" w14:textId="77777777" w:rsidR="00ED4AC0" w:rsidRPr="00B66E08" w:rsidRDefault="00ED4AC0" w:rsidP="00ED4AC0">
            <w:pPr>
              <w:pStyle w:val="FigureCaption"/>
              <w:spacing w:before="0" w:after="160"/>
              <w:ind w:left="0"/>
              <w:rPr>
                <w:rFonts w:ascii="Arial" w:hAnsi="Arial" w:cs="Arial"/>
                <w:b w:val="0"/>
                <w:color w:val="000000" w:themeColor="text1"/>
                <w:sz w:val="22"/>
                <w:szCs w:val="22"/>
              </w:rPr>
            </w:pPr>
            <w:r>
              <w:rPr>
                <w:rFonts w:ascii="Arial" w:hAnsi="Arial" w:cs="Arial"/>
                <w:b w:val="0"/>
                <w:color w:val="000000" w:themeColor="text1"/>
                <w:sz w:val="22"/>
                <w:szCs w:val="22"/>
              </w:rPr>
              <w:t>Y</w:t>
            </w:r>
          </w:p>
        </w:tc>
      </w:tr>
      <w:tr w:rsidR="00ED4AC0" w14:paraId="0B0C14DD" w14:textId="77777777" w:rsidTr="00ED4AC0">
        <w:tc>
          <w:tcPr>
            <w:tcW w:w="3119" w:type="dxa"/>
          </w:tcPr>
          <w:p w14:paraId="208177C8" w14:textId="77777777" w:rsidR="00ED4AC0" w:rsidRPr="002A30FC" w:rsidRDefault="00ED4AC0" w:rsidP="00ED4AC0">
            <w:pPr>
              <w:pStyle w:val="FigureCaption"/>
              <w:spacing w:before="0" w:after="160"/>
              <w:ind w:left="0"/>
              <w:jc w:val="left"/>
              <w:rPr>
                <w:rFonts w:ascii="Arial" w:hAnsi="Arial" w:cs="Arial"/>
                <w:b w:val="0"/>
                <w:color w:val="auto"/>
                <w:sz w:val="22"/>
                <w:szCs w:val="22"/>
              </w:rPr>
            </w:pPr>
            <w:r>
              <w:rPr>
                <w:rFonts w:ascii="Arial" w:hAnsi="Arial" w:cs="Arial"/>
                <w:b w:val="0"/>
                <w:color w:val="auto"/>
                <w:sz w:val="22"/>
                <w:szCs w:val="22"/>
              </w:rPr>
              <w:t>Clause 98 - Design of seniors housing</w:t>
            </w:r>
          </w:p>
        </w:tc>
        <w:tc>
          <w:tcPr>
            <w:tcW w:w="9639" w:type="dxa"/>
          </w:tcPr>
          <w:p w14:paraId="21DCFCDD" w14:textId="456B6B86" w:rsidR="00ED4AC0" w:rsidRDefault="00ED4AC0" w:rsidP="00ED4AC0">
            <w:pPr>
              <w:pStyle w:val="FigureCaption"/>
              <w:spacing w:before="0" w:after="160"/>
              <w:ind w:left="0"/>
              <w:jc w:val="left"/>
              <w:rPr>
                <w:rFonts w:ascii="Arial" w:hAnsi="Arial" w:cs="Arial"/>
                <w:b w:val="0"/>
                <w:color w:val="000000" w:themeColor="text1"/>
                <w:sz w:val="22"/>
                <w:szCs w:val="22"/>
                <w:lang w:val="en-AU"/>
              </w:rPr>
            </w:pPr>
            <w:r>
              <w:rPr>
                <w:rFonts w:ascii="Arial" w:hAnsi="Arial" w:cs="Arial"/>
                <w:b w:val="0"/>
                <w:color w:val="000000" w:themeColor="text1"/>
                <w:sz w:val="22"/>
                <w:szCs w:val="22"/>
                <w:lang w:val="en-AU"/>
              </w:rPr>
              <w:t>The proposal demonstrates satisfactory compliance with</w:t>
            </w:r>
            <w:r w:rsidR="00DB447E">
              <w:rPr>
                <w:rFonts w:ascii="Arial" w:hAnsi="Arial" w:cs="Arial"/>
                <w:b w:val="0"/>
                <w:color w:val="000000" w:themeColor="text1"/>
                <w:sz w:val="22"/>
                <w:szCs w:val="22"/>
                <w:lang w:val="en-AU"/>
              </w:rPr>
              <w:t xml:space="preserve"> </w:t>
            </w:r>
            <w:r>
              <w:rPr>
                <w:rFonts w:ascii="Arial" w:hAnsi="Arial" w:cs="Arial"/>
                <w:b w:val="0"/>
                <w:color w:val="000000" w:themeColor="text1"/>
                <w:sz w:val="22"/>
                <w:szCs w:val="22"/>
                <w:lang w:val="en-AU"/>
              </w:rPr>
              <w:t xml:space="preserve">the design principles in Division 6 as detailed under clauses 99 -105. </w:t>
            </w:r>
          </w:p>
        </w:tc>
        <w:tc>
          <w:tcPr>
            <w:tcW w:w="1134" w:type="dxa"/>
          </w:tcPr>
          <w:p w14:paraId="35DD6F85" w14:textId="77777777" w:rsidR="00ED4AC0" w:rsidRDefault="00ED4AC0" w:rsidP="00ED4AC0">
            <w:pPr>
              <w:pStyle w:val="FigureCaption"/>
              <w:spacing w:before="0" w:after="160"/>
              <w:ind w:left="0"/>
              <w:rPr>
                <w:rFonts w:ascii="Arial" w:hAnsi="Arial" w:cs="Arial"/>
                <w:b w:val="0"/>
                <w:color w:val="000000" w:themeColor="text1"/>
                <w:sz w:val="22"/>
                <w:szCs w:val="22"/>
              </w:rPr>
            </w:pPr>
            <w:r>
              <w:rPr>
                <w:rFonts w:ascii="Arial" w:hAnsi="Arial" w:cs="Arial"/>
                <w:b w:val="0"/>
                <w:color w:val="000000" w:themeColor="text1"/>
                <w:sz w:val="22"/>
                <w:szCs w:val="22"/>
              </w:rPr>
              <w:t>Y</w:t>
            </w:r>
          </w:p>
        </w:tc>
      </w:tr>
      <w:tr w:rsidR="00ED4AC0" w14:paraId="61FE3190" w14:textId="77777777" w:rsidTr="00ED4AC0">
        <w:tc>
          <w:tcPr>
            <w:tcW w:w="3119" w:type="dxa"/>
          </w:tcPr>
          <w:p w14:paraId="69892A10" w14:textId="77777777" w:rsidR="00ED4AC0" w:rsidRDefault="00ED4AC0" w:rsidP="00ED4AC0">
            <w:pPr>
              <w:pStyle w:val="FigureCaption"/>
              <w:spacing w:before="0" w:after="160"/>
              <w:ind w:left="0"/>
              <w:jc w:val="left"/>
              <w:rPr>
                <w:rFonts w:ascii="Arial" w:hAnsi="Arial" w:cs="Arial"/>
                <w:b w:val="0"/>
                <w:color w:val="auto"/>
                <w:sz w:val="22"/>
                <w:szCs w:val="22"/>
              </w:rPr>
            </w:pPr>
            <w:r>
              <w:rPr>
                <w:rFonts w:ascii="Arial" w:hAnsi="Arial" w:cs="Arial"/>
                <w:b w:val="0"/>
                <w:color w:val="auto"/>
                <w:sz w:val="22"/>
                <w:szCs w:val="22"/>
              </w:rPr>
              <w:t xml:space="preserve">Clause 99- neighbourhood amenity and streetscape </w:t>
            </w:r>
          </w:p>
        </w:tc>
        <w:tc>
          <w:tcPr>
            <w:tcW w:w="9639" w:type="dxa"/>
          </w:tcPr>
          <w:p w14:paraId="4E1FA877" w14:textId="77777777" w:rsidR="00ED4AC0" w:rsidRDefault="00ED4AC0" w:rsidP="00ED4AC0">
            <w:pPr>
              <w:pStyle w:val="FigureCaption"/>
              <w:spacing w:before="0" w:after="160"/>
              <w:ind w:left="0"/>
              <w:jc w:val="left"/>
              <w:rPr>
                <w:rFonts w:ascii="Arial" w:hAnsi="Arial" w:cs="Arial"/>
                <w:b w:val="0"/>
                <w:color w:val="000000" w:themeColor="text1"/>
                <w:sz w:val="22"/>
                <w:szCs w:val="22"/>
                <w:lang w:val="en-AU"/>
              </w:rPr>
            </w:pPr>
            <w:r>
              <w:rPr>
                <w:rFonts w:ascii="Arial" w:hAnsi="Arial" w:cs="Arial"/>
                <w:b w:val="0"/>
                <w:color w:val="000000" w:themeColor="text1"/>
                <w:sz w:val="22"/>
                <w:szCs w:val="22"/>
                <w:lang w:val="en-AU"/>
              </w:rPr>
              <w:t>The development maintains the neighbourhood amenity and character as follows:</w:t>
            </w:r>
          </w:p>
          <w:p w14:paraId="2F8EB25A" w14:textId="77777777" w:rsidR="00ED4AC0" w:rsidRDefault="00ED4AC0" w:rsidP="00ED4AC0">
            <w:pPr>
              <w:pStyle w:val="FigureCaption"/>
              <w:numPr>
                <w:ilvl w:val="0"/>
                <w:numId w:val="40"/>
              </w:numPr>
              <w:spacing w:before="0" w:after="160" w:line="264" w:lineRule="auto"/>
              <w:ind w:left="469" w:hanging="425"/>
              <w:jc w:val="left"/>
              <w:rPr>
                <w:rFonts w:ascii="Arial" w:hAnsi="Arial" w:cs="Arial"/>
                <w:b w:val="0"/>
                <w:color w:val="000000" w:themeColor="text1"/>
                <w:sz w:val="22"/>
                <w:szCs w:val="22"/>
                <w:lang w:val="en-AU"/>
              </w:rPr>
            </w:pPr>
            <w:r>
              <w:rPr>
                <w:rFonts w:ascii="Arial" w:hAnsi="Arial" w:cs="Arial"/>
                <w:b w:val="0"/>
                <w:color w:val="000000" w:themeColor="text1"/>
                <w:sz w:val="22"/>
                <w:szCs w:val="22"/>
                <w:lang w:val="en-AU"/>
              </w:rPr>
              <w:t>adequate setback distances are provided to the neighbouring properties to minimise off-site impacts</w:t>
            </w:r>
          </w:p>
          <w:p w14:paraId="105CE75D" w14:textId="77777777" w:rsidR="00ED4AC0" w:rsidRDefault="00ED4AC0" w:rsidP="00ED4AC0">
            <w:pPr>
              <w:pStyle w:val="FigureCaption"/>
              <w:numPr>
                <w:ilvl w:val="0"/>
                <w:numId w:val="40"/>
              </w:numPr>
              <w:spacing w:before="0" w:after="160" w:line="264" w:lineRule="auto"/>
              <w:ind w:left="469" w:hanging="425"/>
              <w:jc w:val="left"/>
              <w:rPr>
                <w:rFonts w:ascii="Arial" w:hAnsi="Arial" w:cs="Arial"/>
                <w:b w:val="0"/>
                <w:color w:val="000000" w:themeColor="text1"/>
                <w:sz w:val="22"/>
                <w:szCs w:val="22"/>
                <w:lang w:val="en-AU"/>
              </w:rPr>
            </w:pPr>
            <w:r>
              <w:rPr>
                <w:rFonts w:ascii="Arial" w:hAnsi="Arial" w:cs="Arial"/>
                <w:b w:val="0"/>
                <w:color w:val="000000" w:themeColor="text1"/>
                <w:sz w:val="22"/>
                <w:szCs w:val="22"/>
                <w:lang w:val="en-AU"/>
              </w:rPr>
              <w:t>the bulk and scale of the development are compatible with the site’s attributes and existing streetscape and built form character</w:t>
            </w:r>
          </w:p>
          <w:p w14:paraId="572484E5" w14:textId="19ACC6E5" w:rsidR="00ED4AC0" w:rsidRDefault="00ED4AC0" w:rsidP="00ED4AC0">
            <w:pPr>
              <w:pStyle w:val="FigureCaption"/>
              <w:numPr>
                <w:ilvl w:val="0"/>
                <w:numId w:val="40"/>
              </w:numPr>
              <w:spacing w:before="0" w:after="160" w:line="264" w:lineRule="auto"/>
              <w:ind w:left="469" w:hanging="425"/>
              <w:jc w:val="left"/>
              <w:rPr>
                <w:rFonts w:ascii="Arial" w:hAnsi="Arial" w:cs="Arial"/>
                <w:b w:val="0"/>
                <w:color w:val="000000" w:themeColor="text1"/>
                <w:sz w:val="22"/>
                <w:szCs w:val="22"/>
                <w:lang w:val="en-AU"/>
              </w:rPr>
            </w:pPr>
            <w:r>
              <w:rPr>
                <w:rFonts w:ascii="Arial" w:hAnsi="Arial" w:cs="Arial"/>
                <w:b w:val="0"/>
                <w:color w:val="000000" w:themeColor="text1"/>
                <w:sz w:val="22"/>
                <w:szCs w:val="22"/>
                <w:lang w:val="en-AU"/>
              </w:rPr>
              <w:t xml:space="preserve">the buildings are well </w:t>
            </w:r>
            <w:r w:rsidR="00DB447E">
              <w:rPr>
                <w:rFonts w:ascii="Arial" w:hAnsi="Arial" w:cs="Arial"/>
                <w:b w:val="0"/>
                <w:color w:val="000000" w:themeColor="text1"/>
                <w:sz w:val="22"/>
                <w:szCs w:val="22"/>
                <w:lang w:val="en-AU"/>
              </w:rPr>
              <w:t>set back</w:t>
            </w:r>
            <w:r>
              <w:rPr>
                <w:rFonts w:ascii="Arial" w:hAnsi="Arial" w:cs="Arial"/>
                <w:b w:val="0"/>
                <w:color w:val="000000" w:themeColor="text1"/>
                <w:sz w:val="22"/>
                <w:szCs w:val="22"/>
                <w:lang w:val="en-AU"/>
              </w:rPr>
              <w:t xml:space="preserve"> from the boundaries. A small stretch of masonry wall is required along the western boundary to support the driveway. All works associated with this wall will be contained within the subject site. As this wall faces the driveway of the adjoining tavern, there will be no adverse impacts. A condition for</w:t>
            </w:r>
            <w:r w:rsidR="00DB447E">
              <w:rPr>
                <w:rFonts w:ascii="Arial" w:hAnsi="Arial" w:cs="Arial"/>
                <w:b w:val="0"/>
                <w:color w:val="000000" w:themeColor="text1"/>
                <w:sz w:val="22"/>
                <w:szCs w:val="22"/>
                <w:lang w:val="en-AU"/>
              </w:rPr>
              <w:t xml:space="preserve"> the </w:t>
            </w:r>
            <w:r>
              <w:rPr>
                <w:rFonts w:ascii="Arial" w:hAnsi="Arial" w:cs="Arial"/>
                <w:b w:val="0"/>
                <w:color w:val="000000" w:themeColor="text1"/>
                <w:sz w:val="22"/>
                <w:szCs w:val="22"/>
                <w:lang w:val="en-AU"/>
              </w:rPr>
              <w:t>textured finish to this wall be imposed to prevent graffiti.</w:t>
            </w:r>
          </w:p>
          <w:p w14:paraId="2F0B222E" w14:textId="77777777" w:rsidR="00ED4AC0" w:rsidRDefault="00ED4AC0" w:rsidP="00ED4AC0">
            <w:pPr>
              <w:pStyle w:val="FigureCaption"/>
              <w:numPr>
                <w:ilvl w:val="0"/>
                <w:numId w:val="40"/>
              </w:numPr>
              <w:spacing w:before="0" w:after="160" w:line="264" w:lineRule="auto"/>
              <w:ind w:left="469" w:hanging="425"/>
              <w:jc w:val="left"/>
              <w:rPr>
                <w:rFonts w:ascii="Arial" w:hAnsi="Arial" w:cs="Arial"/>
                <w:b w:val="0"/>
                <w:color w:val="000000" w:themeColor="text1"/>
                <w:sz w:val="22"/>
                <w:szCs w:val="22"/>
                <w:lang w:val="en-AU"/>
              </w:rPr>
            </w:pPr>
            <w:r>
              <w:rPr>
                <w:rFonts w:ascii="Arial" w:hAnsi="Arial" w:cs="Arial"/>
                <w:b w:val="0"/>
                <w:color w:val="000000" w:themeColor="text1"/>
                <w:sz w:val="22"/>
                <w:szCs w:val="22"/>
                <w:lang w:val="en-AU"/>
              </w:rPr>
              <w:t>the development does not extend into the riparian area and trees at the site frontage are retained where possible.</w:t>
            </w:r>
          </w:p>
        </w:tc>
        <w:tc>
          <w:tcPr>
            <w:tcW w:w="1134" w:type="dxa"/>
          </w:tcPr>
          <w:p w14:paraId="592B0225" w14:textId="77777777" w:rsidR="00ED4AC0" w:rsidRDefault="00ED4AC0" w:rsidP="00ED4AC0">
            <w:pPr>
              <w:pStyle w:val="FigureCaption"/>
              <w:spacing w:before="0" w:after="160"/>
              <w:ind w:left="0"/>
              <w:rPr>
                <w:rFonts w:ascii="Arial" w:hAnsi="Arial" w:cs="Arial"/>
                <w:b w:val="0"/>
                <w:color w:val="000000" w:themeColor="text1"/>
                <w:sz w:val="22"/>
                <w:szCs w:val="22"/>
              </w:rPr>
            </w:pPr>
            <w:r>
              <w:rPr>
                <w:rFonts w:ascii="Arial" w:hAnsi="Arial" w:cs="Arial"/>
                <w:b w:val="0"/>
                <w:color w:val="000000" w:themeColor="text1"/>
                <w:sz w:val="22"/>
                <w:szCs w:val="22"/>
              </w:rPr>
              <w:t>Y</w:t>
            </w:r>
          </w:p>
        </w:tc>
      </w:tr>
      <w:tr w:rsidR="00ED4AC0" w14:paraId="2F45F9B9" w14:textId="77777777" w:rsidTr="00ED4AC0">
        <w:tc>
          <w:tcPr>
            <w:tcW w:w="3119" w:type="dxa"/>
          </w:tcPr>
          <w:p w14:paraId="6FC03F45" w14:textId="1F7213A9" w:rsidR="00ED4AC0" w:rsidRDefault="00ED4AC0" w:rsidP="00ED4AC0">
            <w:pPr>
              <w:pStyle w:val="FigureCaption"/>
              <w:spacing w:before="0" w:after="160"/>
              <w:ind w:left="0"/>
              <w:jc w:val="left"/>
              <w:rPr>
                <w:rFonts w:ascii="Arial" w:hAnsi="Arial" w:cs="Arial"/>
                <w:b w:val="0"/>
                <w:color w:val="auto"/>
                <w:sz w:val="22"/>
                <w:szCs w:val="22"/>
              </w:rPr>
            </w:pPr>
            <w:r>
              <w:rPr>
                <w:rFonts w:ascii="Arial" w:hAnsi="Arial" w:cs="Arial"/>
                <w:b w:val="0"/>
                <w:color w:val="auto"/>
                <w:sz w:val="22"/>
                <w:szCs w:val="22"/>
              </w:rPr>
              <w:t>Clause 100</w:t>
            </w:r>
            <w:r w:rsidR="00C764FE">
              <w:rPr>
                <w:rFonts w:ascii="Arial" w:hAnsi="Arial" w:cs="Arial"/>
                <w:b w:val="0"/>
                <w:color w:val="auto"/>
                <w:sz w:val="22"/>
                <w:szCs w:val="22"/>
              </w:rPr>
              <w:t xml:space="preserve"> </w:t>
            </w:r>
            <w:r>
              <w:rPr>
                <w:rFonts w:ascii="Arial" w:hAnsi="Arial" w:cs="Arial"/>
                <w:b w:val="0"/>
                <w:color w:val="auto"/>
                <w:sz w:val="22"/>
                <w:szCs w:val="22"/>
              </w:rPr>
              <w:t>- Visual and acoustic privacy</w:t>
            </w:r>
          </w:p>
        </w:tc>
        <w:tc>
          <w:tcPr>
            <w:tcW w:w="9639" w:type="dxa"/>
          </w:tcPr>
          <w:p w14:paraId="3D4831BA" w14:textId="77777777" w:rsidR="00ED4AC0" w:rsidRDefault="00ED4AC0" w:rsidP="00ED4AC0">
            <w:pPr>
              <w:pStyle w:val="FigureCaption"/>
              <w:spacing w:before="0" w:after="160"/>
              <w:ind w:left="0"/>
              <w:jc w:val="left"/>
              <w:rPr>
                <w:rFonts w:ascii="Arial" w:hAnsi="Arial" w:cs="Arial"/>
                <w:b w:val="0"/>
                <w:color w:val="000000" w:themeColor="text1"/>
                <w:sz w:val="22"/>
                <w:szCs w:val="22"/>
                <w:lang w:val="en-AU"/>
              </w:rPr>
            </w:pPr>
            <w:r>
              <w:rPr>
                <w:rFonts w:ascii="Arial" w:hAnsi="Arial" w:cs="Arial"/>
                <w:b w:val="0"/>
                <w:color w:val="000000" w:themeColor="text1"/>
                <w:sz w:val="22"/>
                <w:szCs w:val="22"/>
                <w:lang w:val="en-AU"/>
              </w:rPr>
              <w:t xml:space="preserve">The development maintains adequate visual privacy through separation distances to the neighbouring properties and between each wing of the proposed apartment blocks for visual privacy. Tall canopy trees and shrub plantings are proposed along the western and eastern </w:t>
            </w:r>
            <w:r>
              <w:rPr>
                <w:rFonts w:ascii="Arial" w:hAnsi="Arial" w:cs="Arial"/>
                <w:b w:val="0"/>
                <w:color w:val="000000" w:themeColor="text1"/>
                <w:sz w:val="22"/>
                <w:szCs w:val="22"/>
                <w:lang w:val="en-AU"/>
              </w:rPr>
              <w:lastRenderedPageBreak/>
              <w:t>boundaries for visual buffer. The central courtyard area will also be provided with screen plantings to ensure privacy between the dwellings. The plans indicate privacy screens on the balconies (where required) to eliminate direct views.</w:t>
            </w:r>
          </w:p>
          <w:p w14:paraId="15A8898F" w14:textId="77777777" w:rsidR="00ED4AC0" w:rsidRDefault="00ED4AC0" w:rsidP="00ED4AC0">
            <w:pPr>
              <w:pStyle w:val="FigureCaption"/>
              <w:spacing w:before="0" w:after="160"/>
              <w:ind w:left="0"/>
              <w:jc w:val="left"/>
              <w:rPr>
                <w:rFonts w:ascii="Arial" w:hAnsi="Arial" w:cs="Arial"/>
                <w:b w:val="0"/>
                <w:color w:val="000000" w:themeColor="text1"/>
                <w:sz w:val="22"/>
                <w:szCs w:val="22"/>
                <w:lang w:val="en-AU"/>
              </w:rPr>
            </w:pPr>
            <w:r>
              <w:rPr>
                <w:rFonts w:ascii="Arial" w:hAnsi="Arial" w:cs="Arial"/>
                <w:b w:val="0"/>
                <w:color w:val="000000" w:themeColor="text1"/>
                <w:sz w:val="22"/>
                <w:szCs w:val="22"/>
                <w:lang w:val="en-AU"/>
              </w:rPr>
              <w:t>For discussion on acoustic privacy, refer to ‘Key Matters’ in the main assessment report.</w:t>
            </w:r>
          </w:p>
        </w:tc>
        <w:tc>
          <w:tcPr>
            <w:tcW w:w="1134" w:type="dxa"/>
          </w:tcPr>
          <w:p w14:paraId="7DB1F662" w14:textId="77777777" w:rsidR="00ED4AC0" w:rsidRDefault="00ED4AC0" w:rsidP="00ED4AC0">
            <w:pPr>
              <w:pStyle w:val="FigureCaption"/>
              <w:spacing w:before="0" w:after="160"/>
              <w:ind w:left="0"/>
              <w:rPr>
                <w:rFonts w:ascii="Arial" w:hAnsi="Arial" w:cs="Arial"/>
                <w:b w:val="0"/>
                <w:color w:val="000000" w:themeColor="text1"/>
                <w:sz w:val="22"/>
                <w:szCs w:val="22"/>
              </w:rPr>
            </w:pPr>
            <w:r>
              <w:rPr>
                <w:rFonts w:ascii="Arial" w:hAnsi="Arial" w:cs="Arial"/>
                <w:b w:val="0"/>
                <w:color w:val="000000" w:themeColor="text1"/>
                <w:sz w:val="22"/>
                <w:szCs w:val="22"/>
              </w:rPr>
              <w:lastRenderedPageBreak/>
              <w:t>Y</w:t>
            </w:r>
          </w:p>
        </w:tc>
      </w:tr>
      <w:tr w:rsidR="00ED4AC0" w14:paraId="6BBE4F30" w14:textId="77777777" w:rsidTr="00ED4AC0">
        <w:tc>
          <w:tcPr>
            <w:tcW w:w="3119" w:type="dxa"/>
          </w:tcPr>
          <w:p w14:paraId="2A8A0C3E" w14:textId="35BED00D" w:rsidR="00ED4AC0" w:rsidRDefault="00ED4AC0" w:rsidP="00ED4AC0">
            <w:pPr>
              <w:pStyle w:val="FigureCaption"/>
              <w:spacing w:before="0" w:after="160"/>
              <w:ind w:left="0"/>
              <w:jc w:val="left"/>
              <w:rPr>
                <w:rFonts w:ascii="Arial" w:hAnsi="Arial" w:cs="Arial"/>
                <w:b w:val="0"/>
                <w:color w:val="auto"/>
                <w:sz w:val="22"/>
                <w:szCs w:val="22"/>
              </w:rPr>
            </w:pPr>
            <w:r>
              <w:rPr>
                <w:rFonts w:ascii="Arial" w:hAnsi="Arial" w:cs="Arial"/>
                <w:b w:val="0"/>
                <w:color w:val="auto"/>
                <w:sz w:val="22"/>
                <w:szCs w:val="22"/>
              </w:rPr>
              <w:t>Clauses 101</w:t>
            </w:r>
            <w:r w:rsidR="00C764FE">
              <w:rPr>
                <w:rFonts w:ascii="Arial" w:hAnsi="Arial" w:cs="Arial"/>
                <w:b w:val="0"/>
                <w:color w:val="auto"/>
                <w:sz w:val="22"/>
                <w:szCs w:val="22"/>
              </w:rPr>
              <w:t xml:space="preserve">, 102, 103 and </w:t>
            </w:r>
            <w:r>
              <w:rPr>
                <w:rFonts w:ascii="Arial" w:hAnsi="Arial" w:cs="Arial"/>
                <w:b w:val="0"/>
                <w:color w:val="auto"/>
                <w:sz w:val="22"/>
                <w:szCs w:val="22"/>
              </w:rPr>
              <w:t>105</w:t>
            </w:r>
          </w:p>
        </w:tc>
        <w:tc>
          <w:tcPr>
            <w:tcW w:w="9639" w:type="dxa"/>
          </w:tcPr>
          <w:p w14:paraId="0D047ECB" w14:textId="7F261FA0" w:rsidR="00ED4AC0" w:rsidRPr="00DB447E" w:rsidRDefault="00ED4AC0" w:rsidP="00ED4AC0">
            <w:pPr>
              <w:pStyle w:val="FigureCaption"/>
              <w:spacing w:before="0" w:after="160"/>
              <w:ind w:left="0"/>
              <w:jc w:val="left"/>
              <w:rPr>
                <w:rFonts w:ascii="Arial" w:hAnsi="Arial" w:cs="Arial"/>
                <w:b w:val="0"/>
                <w:color w:val="000000" w:themeColor="text1"/>
                <w:sz w:val="22"/>
                <w:szCs w:val="22"/>
                <w:lang w:val="en-AU"/>
              </w:rPr>
            </w:pPr>
            <w:r w:rsidRPr="00DB447E">
              <w:rPr>
                <w:rFonts w:ascii="Arial" w:hAnsi="Arial" w:cs="Arial"/>
                <w:b w:val="0"/>
                <w:color w:val="auto"/>
                <w:sz w:val="22"/>
                <w:szCs w:val="22"/>
                <w:lang w:val="en-AU"/>
              </w:rPr>
              <w:t>These clauses relate to solar access, stormwater management, crime prevention</w:t>
            </w:r>
            <w:r w:rsidR="00C764FE" w:rsidRPr="00DB447E">
              <w:rPr>
                <w:rFonts w:ascii="Arial" w:hAnsi="Arial" w:cs="Arial"/>
                <w:b w:val="0"/>
                <w:color w:val="auto"/>
                <w:sz w:val="22"/>
                <w:szCs w:val="22"/>
                <w:lang w:val="en-AU"/>
              </w:rPr>
              <w:t xml:space="preserve"> </w:t>
            </w:r>
            <w:r w:rsidRPr="00DB447E">
              <w:rPr>
                <w:rFonts w:ascii="Arial" w:hAnsi="Arial" w:cs="Arial"/>
                <w:b w:val="0"/>
                <w:color w:val="auto"/>
                <w:sz w:val="22"/>
                <w:szCs w:val="22"/>
                <w:lang w:val="en-AU"/>
              </w:rPr>
              <w:t xml:space="preserve">and waste management which are addressed either under </w:t>
            </w:r>
            <w:r w:rsidRPr="00DB447E">
              <w:rPr>
                <w:rFonts w:ascii="Arial" w:hAnsi="Arial" w:cs="Arial"/>
                <w:b w:val="0"/>
                <w:i/>
                <w:color w:val="auto"/>
                <w:sz w:val="22"/>
                <w:szCs w:val="22"/>
                <w:lang w:val="en-AU"/>
              </w:rPr>
              <w:t>Lake Macquarie Development Control Plan</w:t>
            </w:r>
            <w:r w:rsidRPr="00DB447E">
              <w:rPr>
                <w:rFonts w:ascii="Arial" w:hAnsi="Arial" w:cs="Arial"/>
                <w:b w:val="0"/>
                <w:color w:val="auto"/>
                <w:sz w:val="22"/>
                <w:szCs w:val="22"/>
                <w:lang w:val="en-AU"/>
              </w:rPr>
              <w:t xml:space="preserve"> </w:t>
            </w:r>
            <w:r w:rsidRPr="00DB447E">
              <w:rPr>
                <w:rFonts w:ascii="Arial" w:hAnsi="Arial" w:cs="Arial"/>
                <w:b w:val="0"/>
                <w:i/>
                <w:color w:val="auto"/>
                <w:sz w:val="22"/>
                <w:szCs w:val="22"/>
              </w:rPr>
              <w:t>2014</w:t>
            </w:r>
            <w:r w:rsidRPr="00DB447E">
              <w:rPr>
                <w:rFonts w:ascii="Arial" w:hAnsi="Arial" w:cs="Arial"/>
                <w:b w:val="0"/>
                <w:color w:val="auto"/>
                <w:sz w:val="22"/>
                <w:szCs w:val="22"/>
                <w:lang w:val="en-AU"/>
              </w:rPr>
              <w:t xml:space="preserve"> or ‘Key Matters’.</w:t>
            </w:r>
          </w:p>
        </w:tc>
        <w:tc>
          <w:tcPr>
            <w:tcW w:w="1134" w:type="dxa"/>
          </w:tcPr>
          <w:p w14:paraId="0080E42D" w14:textId="77777777" w:rsidR="00ED4AC0" w:rsidRDefault="00ED4AC0" w:rsidP="00ED4AC0">
            <w:pPr>
              <w:pStyle w:val="FigureCaption"/>
              <w:spacing w:before="0" w:after="160"/>
              <w:ind w:left="0"/>
              <w:rPr>
                <w:rFonts w:ascii="Arial" w:hAnsi="Arial" w:cs="Arial"/>
                <w:b w:val="0"/>
                <w:color w:val="000000" w:themeColor="text1"/>
                <w:sz w:val="22"/>
                <w:szCs w:val="22"/>
              </w:rPr>
            </w:pPr>
            <w:r>
              <w:rPr>
                <w:rFonts w:ascii="Arial" w:hAnsi="Arial" w:cs="Arial"/>
                <w:b w:val="0"/>
                <w:color w:val="000000" w:themeColor="text1"/>
                <w:sz w:val="22"/>
                <w:szCs w:val="22"/>
              </w:rPr>
              <w:t>Y</w:t>
            </w:r>
          </w:p>
        </w:tc>
      </w:tr>
      <w:tr w:rsidR="00C764FE" w14:paraId="07AB52AA" w14:textId="77777777" w:rsidTr="00ED4AC0">
        <w:tc>
          <w:tcPr>
            <w:tcW w:w="3119" w:type="dxa"/>
          </w:tcPr>
          <w:p w14:paraId="35D2EC5F" w14:textId="1481D7A7" w:rsidR="00C764FE" w:rsidRDefault="00C764FE" w:rsidP="00ED4AC0">
            <w:pPr>
              <w:pStyle w:val="FigureCaption"/>
              <w:spacing w:before="0" w:after="160"/>
              <w:ind w:left="0"/>
              <w:jc w:val="left"/>
              <w:rPr>
                <w:rFonts w:ascii="Arial" w:hAnsi="Arial" w:cs="Arial"/>
                <w:b w:val="0"/>
                <w:color w:val="auto"/>
                <w:sz w:val="22"/>
                <w:szCs w:val="22"/>
              </w:rPr>
            </w:pPr>
            <w:r>
              <w:rPr>
                <w:rFonts w:ascii="Arial" w:hAnsi="Arial" w:cs="Arial"/>
                <w:b w:val="0"/>
                <w:color w:val="auto"/>
                <w:sz w:val="22"/>
                <w:szCs w:val="22"/>
              </w:rPr>
              <w:t>Clause 104 - Accessibility</w:t>
            </w:r>
          </w:p>
        </w:tc>
        <w:tc>
          <w:tcPr>
            <w:tcW w:w="9639" w:type="dxa"/>
          </w:tcPr>
          <w:p w14:paraId="549A9AE3" w14:textId="77777777" w:rsidR="00C764FE" w:rsidRPr="00872E49" w:rsidRDefault="00C764FE" w:rsidP="00C764FE">
            <w:pPr>
              <w:rPr>
                <w:rFonts w:cs="Arial"/>
                <w:szCs w:val="22"/>
              </w:rPr>
            </w:pPr>
            <w:r w:rsidRPr="00872E49">
              <w:rPr>
                <w:rFonts w:cs="Arial"/>
                <w:szCs w:val="22"/>
              </w:rPr>
              <w:t>The Access Audit prepared by Lindsay Perry Access provides a detailed assessment of the development demonstrating compliance with relevant accessibility legislation and the requirements in the SEPP, with further details to be furnished at construction certificate stage.</w:t>
            </w:r>
          </w:p>
          <w:p w14:paraId="4A34CD62" w14:textId="77777777" w:rsidR="00C764FE" w:rsidRPr="00872E49" w:rsidRDefault="00C764FE" w:rsidP="00C764FE">
            <w:pPr>
              <w:rPr>
                <w:rFonts w:cs="Arial"/>
                <w:szCs w:val="22"/>
              </w:rPr>
            </w:pPr>
            <w:r w:rsidRPr="00872E49">
              <w:rPr>
                <w:rFonts w:cs="Arial"/>
                <w:szCs w:val="22"/>
              </w:rPr>
              <w:t>The report also confirms the existing footpath along Wilson Road facilitates an accessible path of travel between the development site and Lake Macquarie Shopping Centre.</w:t>
            </w:r>
          </w:p>
          <w:p w14:paraId="66B7F70D" w14:textId="5E963E33" w:rsidR="00C764FE" w:rsidRPr="00872E49" w:rsidRDefault="00C764FE" w:rsidP="00C764FE">
            <w:pPr>
              <w:rPr>
                <w:rFonts w:cs="Arial"/>
                <w:szCs w:val="22"/>
              </w:rPr>
            </w:pPr>
            <w:r w:rsidRPr="00872E49">
              <w:rPr>
                <w:rFonts w:cs="Arial"/>
                <w:szCs w:val="22"/>
              </w:rPr>
              <w:t xml:space="preserve">The proposed shared path along the reserve closely </w:t>
            </w:r>
            <w:r w:rsidR="00DB447E">
              <w:rPr>
                <w:rFonts w:cs="Arial"/>
                <w:szCs w:val="22"/>
              </w:rPr>
              <w:t>follows</w:t>
            </w:r>
            <w:r w:rsidRPr="00872E49">
              <w:rPr>
                <w:rFonts w:cs="Arial"/>
                <w:szCs w:val="22"/>
              </w:rPr>
              <w:t xml:space="preserve"> the existing contours with the maximum gradient being approximately 1:21 in the north west corner where it connects to the existing footpath. This is well below the maximum gradient of 1:14 in SEPP Housing.</w:t>
            </w:r>
          </w:p>
          <w:p w14:paraId="3A8D8E61" w14:textId="77777777" w:rsidR="00C764FE" w:rsidRPr="00872E49" w:rsidRDefault="00C764FE" w:rsidP="00C764FE">
            <w:pPr>
              <w:rPr>
                <w:rFonts w:cs="Arial"/>
                <w:szCs w:val="22"/>
              </w:rPr>
            </w:pPr>
            <w:r w:rsidRPr="00872E49">
              <w:rPr>
                <w:rFonts w:cs="Arial"/>
                <w:szCs w:val="22"/>
              </w:rPr>
              <w:t>All elements of the development, both internal and external to the building are designed to facilitate non-discriminatory access.</w:t>
            </w:r>
          </w:p>
          <w:p w14:paraId="77C2D45F" w14:textId="639C0537" w:rsidR="00C764FE" w:rsidRPr="00872E49" w:rsidRDefault="00C764FE" w:rsidP="00C764FE">
            <w:pPr>
              <w:pStyle w:val="FigureCaption"/>
              <w:spacing w:before="0" w:after="160"/>
              <w:ind w:left="0"/>
              <w:jc w:val="left"/>
              <w:rPr>
                <w:rFonts w:ascii="Arial" w:hAnsi="Arial" w:cs="Arial"/>
                <w:b w:val="0"/>
                <w:color w:val="auto"/>
                <w:sz w:val="22"/>
                <w:szCs w:val="22"/>
                <w:lang w:val="en-AU"/>
              </w:rPr>
            </w:pPr>
            <w:r w:rsidRPr="00872E49">
              <w:rPr>
                <w:rFonts w:ascii="Arial" w:hAnsi="Arial" w:cs="Arial"/>
                <w:b w:val="0"/>
                <w:color w:val="auto"/>
                <w:sz w:val="22"/>
                <w:szCs w:val="22"/>
              </w:rPr>
              <w:t xml:space="preserve">Council’s Disability Access officer has reviewed and supported the recommendations of the report. </w:t>
            </w:r>
          </w:p>
        </w:tc>
        <w:tc>
          <w:tcPr>
            <w:tcW w:w="1134" w:type="dxa"/>
          </w:tcPr>
          <w:p w14:paraId="085A34E1" w14:textId="77777777" w:rsidR="00C764FE" w:rsidRDefault="00C764FE" w:rsidP="00ED4AC0">
            <w:pPr>
              <w:pStyle w:val="FigureCaption"/>
              <w:spacing w:before="0" w:after="160"/>
              <w:ind w:left="0"/>
              <w:rPr>
                <w:rFonts w:ascii="Arial" w:hAnsi="Arial" w:cs="Arial"/>
                <w:b w:val="0"/>
                <w:color w:val="000000" w:themeColor="text1"/>
                <w:sz w:val="22"/>
                <w:szCs w:val="22"/>
              </w:rPr>
            </w:pPr>
          </w:p>
        </w:tc>
      </w:tr>
      <w:tr w:rsidR="00ED4AC0" w14:paraId="000CB359" w14:textId="77777777" w:rsidTr="00ED4AC0">
        <w:tc>
          <w:tcPr>
            <w:tcW w:w="3119" w:type="dxa"/>
          </w:tcPr>
          <w:p w14:paraId="7EF0D128" w14:textId="77777777" w:rsidR="00ED4AC0" w:rsidRDefault="00ED4AC0" w:rsidP="00ED4AC0">
            <w:pPr>
              <w:pStyle w:val="FigureCaption"/>
              <w:spacing w:before="0" w:after="160"/>
              <w:ind w:left="0"/>
              <w:jc w:val="left"/>
              <w:rPr>
                <w:rFonts w:ascii="Arial" w:hAnsi="Arial" w:cs="Arial"/>
                <w:b w:val="0"/>
                <w:color w:val="auto"/>
                <w:sz w:val="22"/>
                <w:szCs w:val="22"/>
              </w:rPr>
            </w:pPr>
            <w:r>
              <w:rPr>
                <w:rFonts w:ascii="Arial" w:hAnsi="Arial" w:cs="Arial"/>
                <w:b w:val="0"/>
                <w:color w:val="auto"/>
                <w:sz w:val="22"/>
                <w:szCs w:val="22"/>
              </w:rPr>
              <w:t>Schedule 4 requirements</w:t>
            </w:r>
          </w:p>
        </w:tc>
        <w:tc>
          <w:tcPr>
            <w:tcW w:w="9639" w:type="dxa"/>
          </w:tcPr>
          <w:p w14:paraId="7794E67C" w14:textId="0C41DD1B" w:rsidR="00ED4AC0" w:rsidRDefault="003F2DBC" w:rsidP="00872E49">
            <w:r>
              <w:t>Section 5 of the A</w:t>
            </w:r>
            <w:r w:rsidR="003534C6">
              <w:t xml:space="preserve">ccess </w:t>
            </w:r>
            <w:r>
              <w:t>R</w:t>
            </w:r>
            <w:r w:rsidR="003534C6">
              <w:t xml:space="preserve">eport prepared by Lindsay Perry </w:t>
            </w:r>
            <w:r w:rsidR="00994FAD">
              <w:t>demonstrates</w:t>
            </w:r>
            <w:r w:rsidR="003534C6">
              <w:t xml:space="preserve"> compliance with </w:t>
            </w:r>
            <w:r w:rsidR="00ED4AC0">
              <w:t xml:space="preserve">Schedule </w:t>
            </w:r>
            <w:r w:rsidR="00B64458">
              <w:t>4</w:t>
            </w:r>
            <w:r w:rsidR="00ED4AC0">
              <w:t xml:space="preserve"> </w:t>
            </w:r>
            <w:r>
              <w:t xml:space="preserve">requirements, </w:t>
            </w:r>
            <w:r w:rsidR="00ED4AC0">
              <w:t xml:space="preserve">as </w:t>
            </w:r>
            <w:r>
              <w:t>summarised below</w:t>
            </w:r>
            <w:r w:rsidR="00ED4AC0">
              <w:t>:</w:t>
            </w:r>
          </w:p>
          <w:p w14:paraId="265B2619" w14:textId="2C8834FA" w:rsidR="00ED4AC0" w:rsidRDefault="00DB447E" w:rsidP="00872E49">
            <w:pPr>
              <w:pStyle w:val="ListParagraph"/>
              <w:numPr>
                <w:ilvl w:val="0"/>
                <w:numId w:val="39"/>
              </w:numPr>
              <w:spacing w:after="160"/>
              <w:contextualSpacing w:val="0"/>
            </w:pPr>
            <w:proofErr w:type="spellStart"/>
            <w:r>
              <w:t>wheelchair</w:t>
            </w:r>
            <w:r w:rsidR="003534C6">
              <w:t>ir</w:t>
            </w:r>
            <w:proofErr w:type="spellEnd"/>
            <w:r w:rsidR="003534C6">
              <w:t xml:space="preserve"> access by a continuous accessible path of travel is available to all dwellings </w:t>
            </w:r>
          </w:p>
          <w:p w14:paraId="32AD9755" w14:textId="25E78BDD" w:rsidR="003534C6" w:rsidRDefault="00872E49" w:rsidP="00872E49">
            <w:pPr>
              <w:pStyle w:val="ListParagraph"/>
              <w:numPr>
                <w:ilvl w:val="0"/>
                <w:numId w:val="39"/>
              </w:numPr>
              <w:spacing w:after="160"/>
              <w:contextualSpacing w:val="0"/>
            </w:pPr>
            <w:r>
              <w:t>l</w:t>
            </w:r>
            <w:r w:rsidR="003D558E">
              <w:t>ighting</w:t>
            </w:r>
            <w:r w:rsidR="003534C6">
              <w:t xml:space="preserve"> requirement of pathway</w:t>
            </w:r>
            <w:r>
              <w:t>s</w:t>
            </w:r>
            <w:r w:rsidR="003534C6">
              <w:t xml:space="preserve"> will be imposed thorough conditions to be addressed in the detailed design </w:t>
            </w:r>
          </w:p>
          <w:p w14:paraId="574F14FF" w14:textId="3567AAA9" w:rsidR="003534C6" w:rsidRDefault="00872E49" w:rsidP="00872E49">
            <w:pPr>
              <w:pStyle w:val="ListParagraph"/>
              <w:numPr>
                <w:ilvl w:val="0"/>
                <w:numId w:val="39"/>
              </w:numPr>
              <w:spacing w:after="160"/>
              <w:contextualSpacing w:val="0"/>
            </w:pPr>
            <w:r>
              <w:t>l</w:t>
            </w:r>
            <w:r w:rsidR="003534C6">
              <w:t>etterboxes are located at the front entrance to the building, at the drop off zone, in an accessible location</w:t>
            </w:r>
          </w:p>
          <w:p w14:paraId="67AF3BB2" w14:textId="66C42821" w:rsidR="003534C6" w:rsidRDefault="00872E49" w:rsidP="00872E49">
            <w:pPr>
              <w:pStyle w:val="ListParagraph"/>
              <w:numPr>
                <w:ilvl w:val="0"/>
                <w:numId w:val="39"/>
              </w:numPr>
              <w:spacing w:after="160"/>
              <w:contextualSpacing w:val="0"/>
            </w:pPr>
            <w:r>
              <w:lastRenderedPageBreak/>
              <w:t>s</w:t>
            </w:r>
            <w:r w:rsidR="003D558E">
              <w:t>ix</w:t>
            </w:r>
            <w:r w:rsidR="00A04737">
              <w:t xml:space="preserve"> parking spaces that meet the accessibility standards are provided at the basement level and one accessible car parking space is provided at the street level for visitors</w:t>
            </w:r>
            <w:r w:rsidR="00114D43">
              <w:t xml:space="preserve"> to the seniors housing</w:t>
            </w:r>
            <w:r w:rsidR="00A04737">
              <w:t xml:space="preserve">. </w:t>
            </w:r>
          </w:p>
          <w:p w14:paraId="10C7A511" w14:textId="5A60D338" w:rsidR="00A04737" w:rsidRDefault="00872E49" w:rsidP="00872E49">
            <w:pPr>
              <w:pStyle w:val="ListParagraph"/>
              <w:numPr>
                <w:ilvl w:val="0"/>
                <w:numId w:val="39"/>
              </w:numPr>
              <w:spacing w:after="160"/>
              <w:contextualSpacing w:val="0"/>
            </w:pPr>
            <w:r>
              <w:t>a</w:t>
            </w:r>
            <w:r w:rsidR="003D558E">
              <w:t>ll</w:t>
            </w:r>
            <w:r w:rsidR="00A04737">
              <w:t xml:space="preserve"> entries</w:t>
            </w:r>
            <w:r w:rsidR="003D558E">
              <w:t xml:space="preserve">, </w:t>
            </w:r>
            <w:r w:rsidR="00A04737">
              <w:t>doorway</w:t>
            </w:r>
            <w:r w:rsidR="003D558E">
              <w:t>s</w:t>
            </w:r>
            <w:r w:rsidR="00A04737">
              <w:t>, corridors and circulation spaces comply with relevant Australian Standards</w:t>
            </w:r>
          </w:p>
          <w:p w14:paraId="11D15B16" w14:textId="2F2972A4" w:rsidR="00ED4AC0" w:rsidRDefault="00872E49" w:rsidP="00872E49">
            <w:pPr>
              <w:pStyle w:val="ListParagraph"/>
              <w:numPr>
                <w:ilvl w:val="0"/>
                <w:numId w:val="39"/>
              </w:numPr>
              <w:spacing w:after="160"/>
              <w:contextualSpacing w:val="0"/>
            </w:pPr>
            <w:r>
              <w:t>a</w:t>
            </w:r>
            <w:r w:rsidR="003D558E">
              <w:t>ll</w:t>
            </w:r>
            <w:r w:rsidR="00A04737">
              <w:t xml:space="preserve"> bedrooms are of compliance configuration, additional requirements </w:t>
            </w:r>
            <w:r w:rsidR="003D558E">
              <w:t xml:space="preserve">in this section </w:t>
            </w:r>
            <w:r w:rsidR="00A04737">
              <w:t>will be imposed through conditions at detailed design stage</w:t>
            </w:r>
          </w:p>
          <w:p w14:paraId="6EAA178E" w14:textId="63A0E977" w:rsidR="003D558E" w:rsidRDefault="00872E49" w:rsidP="00872E49">
            <w:pPr>
              <w:pStyle w:val="ListParagraph"/>
              <w:numPr>
                <w:ilvl w:val="0"/>
                <w:numId w:val="39"/>
              </w:numPr>
              <w:spacing w:after="160"/>
              <w:contextualSpacing w:val="0"/>
            </w:pPr>
            <w:r>
              <w:t>a</w:t>
            </w:r>
            <w:r w:rsidR="003D558E">
              <w:t>ll bathrooms are of compliant configuration. Compliance of the finishes and the fittings with relevant Australian Standards will be ensure</w:t>
            </w:r>
            <w:r w:rsidR="00114D43">
              <w:t>d</w:t>
            </w:r>
            <w:r w:rsidR="003D558E">
              <w:t xml:space="preserve"> at detailed design stage through conditions</w:t>
            </w:r>
          </w:p>
          <w:p w14:paraId="599431FE" w14:textId="6683A6BF" w:rsidR="003D558E" w:rsidRDefault="00872E49" w:rsidP="00872E49">
            <w:pPr>
              <w:pStyle w:val="ListParagraph"/>
              <w:numPr>
                <w:ilvl w:val="0"/>
                <w:numId w:val="39"/>
              </w:numPr>
              <w:spacing w:after="160"/>
              <w:contextualSpacing w:val="0"/>
            </w:pPr>
            <w:r>
              <w:t>c</w:t>
            </w:r>
            <w:r w:rsidR="003D558E">
              <w:t>ompliance of surface finishes, hardware, and ancillary items are considerations at detailed design stage which will be imposed through conditions</w:t>
            </w:r>
          </w:p>
          <w:p w14:paraId="291FF186" w14:textId="66F60160" w:rsidR="003D558E" w:rsidRPr="00872E49" w:rsidRDefault="00872E49" w:rsidP="00872E49">
            <w:pPr>
              <w:pStyle w:val="ListParagraph"/>
              <w:numPr>
                <w:ilvl w:val="0"/>
                <w:numId w:val="39"/>
              </w:numPr>
              <w:autoSpaceDE w:val="0"/>
              <w:autoSpaceDN w:val="0"/>
              <w:adjustRightInd w:val="0"/>
              <w:spacing w:after="160"/>
              <w:contextualSpacing w:val="0"/>
              <w:rPr>
                <w:rFonts w:ascii="ArialNovaLight" w:hAnsi="ArialNovaLight" w:cs="ArialNovaLight"/>
                <w:szCs w:val="22"/>
              </w:rPr>
            </w:pPr>
            <w:r>
              <w:rPr>
                <w:rFonts w:ascii="ArialNovaLight" w:hAnsi="ArialNovaLight" w:cs="ArialNovaLight"/>
                <w:szCs w:val="22"/>
              </w:rPr>
              <w:t>t</w:t>
            </w:r>
            <w:r w:rsidR="003D558E" w:rsidRPr="003D558E">
              <w:rPr>
                <w:rFonts w:ascii="ArialNovaLight" w:hAnsi="ArialNovaLight" w:cs="ArialNovaLight"/>
                <w:szCs w:val="22"/>
              </w:rPr>
              <w:t xml:space="preserve">he open plan arrangement of </w:t>
            </w:r>
            <w:r w:rsidR="00DB447E">
              <w:rPr>
                <w:rFonts w:ascii="ArialNovaLight" w:hAnsi="ArialNovaLight" w:cs="ArialNovaLight"/>
                <w:szCs w:val="22"/>
              </w:rPr>
              <w:t>living/dining</w:t>
            </w:r>
            <w:r w:rsidR="003D558E" w:rsidRPr="003D558E">
              <w:rPr>
                <w:rFonts w:ascii="ArialNovaLight" w:hAnsi="ArialNovaLight" w:cs="ArialNovaLight"/>
                <w:szCs w:val="22"/>
              </w:rPr>
              <w:t xml:space="preserve"> areas within each of the dwellings</w:t>
            </w:r>
            <w:r>
              <w:rPr>
                <w:rFonts w:ascii="ArialNovaLight" w:hAnsi="ArialNovaLight" w:cs="ArialNovaLight"/>
                <w:szCs w:val="22"/>
              </w:rPr>
              <w:t xml:space="preserve"> </w:t>
            </w:r>
            <w:r w:rsidR="003D558E" w:rsidRPr="00872E49">
              <w:rPr>
                <w:rFonts w:ascii="ArialNovaLight" w:hAnsi="ArialNovaLight" w:cs="ArialNovaLight"/>
                <w:szCs w:val="22"/>
              </w:rPr>
              <w:t>satisfy the requirements for circulation spaces. The requirement for telephone outlet, general</w:t>
            </w:r>
            <w:r>
              <w:rPr>
                <w:rFonts w:ascii="ArialNovaLight" w:hAnsi="ArialNovaLight" w:cs="ArialNovaLight"/>
                <w:szCs w:val="22"/>
              </w:rPr>
              <w:t xml:space="preserve"> </w:t>
            </w:r>
            <w:r w:rsidR="003D558E" w:rsidRPr="00872E49">
              <w:rPr>
                <w:rFonts w:ascii="ArialNovaLight" w:hAnsi="ArialNovaLight" w:cs="ArialNovaLight"/>
                <w:szCs w:val="22"/>
              </w:rPr>
              <w:t>purpose outlet and lux levels will be imposed through conditions</w:t>
            </w:r>
          </w:p>
          <w:p w14:paraId="091386F2" w14:textId="0F627B74" w:rsidR="00114D43" w:rsidRPr="00872E49" w:rsidRDefault="00872E49" w:rsidP="00872E49">
            <w:pPr>
              <w:pStyle w:val="ListParagraph"/>
              <w:numPr>
                <w:ilvl w:val="0"/>
                <w:numId w:val="42"/>
              </w:numPr>
              <w:autoSpaceDE w:val="0"/>
              <w:autoSpaceDN w:val="0"/>
              <w:adjustRightInd w:val="0"/>
              <w:spacing w:after="160"/>
              <w:contextualSpacing w:val="0"/>
              <w:rPr>
                <w:rFonts w:ascii="ArialNovaLight" w:hAnsi="ArialNovaLight" w:cs="ArialNovaLight"/>
                <w:szCs w:val="22"/>
              </w:rPr>
            </w:pPr>
            <w:r>
              <w:rPr>
                <w:rFonts w:ascii="ArialNovaLight" w:hAnsi="ArialNovaLight" w:cs="ArialNovaLight"/>
                <w:szCs w:val="22"/>
              </w:rPr>
              <w:t>k</w:t>
            </w:r>
            <w:r w:rsidR="00114D43" w:rsidRPr="00114D43">
              <w:rPr>
                <w:rFonts w:ascii="ArialNovaLight" w:hAnsi="ArialNovaLight" w:cs="ArialNovaLight"/>
                <w:szCs w:val="22"/>
              </w:rPr>
              <w:t>itchens within each dwelling have adequate width to accommodate 1550 mm</w:t>
            </w:r>
            <w:r>
              <w:rPr>
                <w:rFonts w:ascii="ArialNovaLight" w:hAnsi="ArialNovaLight" w:cs="ArialNovaLight"/>
                <w:szCs w:val="22"/>
              </w:rPr>
              <w:t xml:space="preserve"> </w:t>
            </w:r>
            <w:r w:rsidR="00114D43" w:rsidRPr="00872E49">
              <w:rPr>
                <w:rFonts w:ascii="ArialNovaLight" w:hAnsi="ArialNovaLight" w:cs="ArialNovaLight"/>
                <w:szCs w:val="22"/>
              </w:rPr>
              <w:t>clear between opposing benches</w:t>
            </w:r>
          </w:p>
          <w:p w14:paraId="35905364" w14:textId="6331FA76" w:rsidR="00114D43" w:rsidRPr="00114D43" w:rsidRDefault="00872E49" w:rsidP="00872E49">
            <w:pPr>
              <w:pStyle w:val="ListParagraph"/>
              <w:numPr>
                <w:ilvl w:val="0"/>
                <w:numId w:val="39"/>
              </w:numPr>
              <w:autoSpaceDE w:val="0"/>
              <w:autoSpaceDN w:val="0"/>
              <w:adjustRightInd w:val="0"/>
              <w:spacing w:after="160"/>
              <w:contextualSpacing w:val="0"/>
              <w:rPr>
                <w:rFonts w:ascii="ArialNovaLight" w:hAnsi="ArialNovaLight" w:cs="ArialNovaLight"/>
                <w:szCs w:val="22"/>
              </w:rPr>
            </w:pPr>
            <w:r>
              <w:t>t</w:t>
            </w:r>
            <w:r w:rsidR="003D558E">
              <w:t xml:space="preserve">he lifts provided for access between the </w:t>
            </w:r>
            <w:r>
              <w:t>dwellings</w:t>
            </w:r>
            <w:r w:rsidR="003D558E">
              <w:t xml:space="preserve"> comply and additional requirements wil</w:t>
            </w:r>
            <w:r>
              <w:t xml:space="preserve">l </w:t>
            </w:r>
            <w:r w:rsidR="003D558E">
              <w:t>be addressed through conditions</w:t>
            </w:r>
          </w:p>
          <w:p w14:paraId="0033E68B" w14:textId="3BADFBB1" w:rsidR="003D558E" w:rsidRPr="00114D43" w:rsidRDefault="00872E49" w:rsidP="00872E49">
            <w:pPr>
              <w:pStyle w:val="ListParagraph"/>
              <w:numPr>
                <w:ilvl w:val="0"/>
                <w:numId w:val="39"/>
              </w:numPr>
              <w:autoSpaceDE w:val="0"/>
              <w:autoSpaceDN w:val="0"/>
              <w:adjustRightInd w:val="0"/>
              <w:spacing w:after="160"/>
              <w:contextualSpacing w:val="0"/>
              <w:rPr>
                <w:rFonts w:ascii="ArialNovaLight" w:hAnsi="ArialNovaLight" w:cs="ArialNovaLight"/>
                <w:szCs w:val="22"/>
              </w:rPr>
            </w:pPr>
            <w:r>
              <w:rPr>
                <w:rFonts w:ascii="ArialNovaLight" w:hAnsi="ArialNovaLight" w:cs="ArialNovaLight"/>
                <w:szCs w:val="22"/>
              </w:rPr>
              <w:t>l</w:t>
            </w:r>
            <w:r w:rsidR="00114D43" w:rsidRPr="00114D43">
              <w:rPr>
                <w:rFonts w:ascii="ArialNovaLight" w:hAnsi="ArialNovaLight" w:cs="ArialNovaLight"/>
                <w:szCs w:val="22"/>
              </w:rPr>
              <w:t xml:space="preserve">aundries in all </w:t>
            </w:r>
            <w:r>
              <w:rPr>
                <w:rFonts w:ascii="ArialNovaLight" w:hAnsi="ArialNovaLight" w:cs="ArialNovaLight"/>
                <w:szCs w:val="22"/>
              </w:rPr>
              <w:t>dwellings</w:t>
            </w:r>
            <w:r w:rsidR="00114D43" w:rsidRPr="00114D43">
              <w:rPr>
                <w:rFonts w:ascii="ArialNovaLight" w:hAnsi="ArialNovaLight" w:cs="ArialNovaLight"/>
                <w:szCs w:val="22"/>
              </w:rPr>
              <w:t xml:space="preserve"> are located appropriately with adequate circulation space</w:t>
            </w:r>
          </w:p>
          <w:p w14:paraId="13DA9319" w14:textId="7F4765F9" w:rsidR="00114D43" w:rsidRDefault="00872E49" w:rsidP="00872E49">
            <w:pPr>
              <w:pStyle w:val="ListParagraph"/>
              <w:numPr>
                <w:ilvl w:val="0"/>
                <w:numId w:val="39"/>
              </w:numPr>
              <w:autoSpaceDE w:val="0"/>
              <w:autoSpaceDN w:val="0"/>
              <w:adjustRightInd w:val="0"/>
              <w:spacing w:after="160"/>
              <w:contextualSpacing w:val="0"/>
              <w:rPr>
                <w:rFonts w:ascii="ArialNovaLight" w:hAnsi="ArialNovaLight" w:cs="ArialNovaLight"/>
                <w:szCs w:val="22"/>
              </w:rPr>
            </w:pPr>
            <w:r>
              <w:rPr>
                <w:rFonts w:ascii="ArialNovaLight" w:hAnsi="ArialNovaLight" w:cs="ArialNovaLight"/>
                <w:szCs w:val="22"/>
              </w:rPr>
              <w:t>a</w:t>
            </w:r>
            <w:r w:rsidR="00114D43">
              <w:rPr>
                <w:rFonts w:ascii="ArialNovaLight" w:hAnsi="ArialNovaLight" w:cs="ArialNovaLight"/>
                <w:szCs w:val="22"/>
              </w:rPr>
              <w:t xml:space="preserve">ll </w:t>
            </w:r>
            <w:r>
              <w:rPr>
                <w:rFonts w:ascii="ArialNovaLight" w:hAnsi="ArialNovaLight" w:cs="ArialNovaLight"/>
                <w:szCs w:val="22"/>
              </w:rPr>
              <w:t>dwellings</w:t>
            </w:r>
            <w:r w:rsidR="00114D43">
              <w:rPr>
                <w:rFonts w:ascii="ArialNovaLight" w:hAnsi="ArialNovaLight" w:cs="ArialNovaLight"/>
                <w:szCs w:val="22"/>
              </w:rPr>
              <w:t xml:space="preserve"> contain a linen cupboard</w:t>
            </w:r>
          </w:p>
          <w:p w14:paraId="5DE8FB06" w14:textId="73DB42EA" w:rsidR="00ED4AC0" w:rsidRPr="00872E49" w:rsidRDefault="00872E49" w:rsidP="00872E49">
            <w:pPr>
              <w:pStyle w:val="ListParagraph"/>
              <w:numPr>
                <w:ilvl w:val="0"/>
                <w:numId w:val="39"/>
              </w:numPr>
              <w:autoSpaceDE w:val="0"/>
              <w:autoSpaceDN w:val="0"/>
              <w:adjustRightInd w:val="0"/>
              <w:spacing w:after="160"/>
              <w:contextualSpacing w:val="0"/>
              <w:rPr>
                <w:rFonts w:ascii="ArialNovaLight" w:hAnsi="ArialNovaLight" w:cs="ArialNovaLight"/>
                <w:szCs w:val="22"/>
              </w:rPr>
            </w:pPr>
            <w:r>
              <w:rPr>
                <w:rFonts w:ascii="ArialNovaLight" w:hAnsi="ArialNovaLight" w:cs="ArialNovaLight"/>
                <w:szCs w:val="22"/>
              </w:rPr>
              <w:t>t</w:t>
            </w:r>
            <w:r w:rsidR="00114D43">
              <w:rPr>
                <w:rFonts w:ascii="ArialNovaLight" w:hAnsi="ArialNovaLight" w:cs="ArialNovaLight"/>
                <w:szCs w:val="22"/>
              </w:rPr>
              <w:t xml:space="preserve">he bin storage </w:t>
            </w:r>
            <w:r w:rsidR="003F2DBC">
              <w:rPr>
                <w:rFonts w:ascii="ArialNovaLight" w:hAnsi="ArialNovaLight" w:cs="ArialNovaLight"/>
                <w:szCs w:val="22"/>
              </w:rPr>
              <w:t>area</w:t>
            </w:r>
            <w:r w:rsidR="00114D43">
              <w:rPr>
                <w:rFonts w:ascii="ArialNovaLight" w:hAnsi="ArialNovaLight" w:cs="ArialNovaLight"/>
                <w:szCs w:val="22"/>
              </w:rPr>
              <w:t xml:space="preserve"> at the basement level and</w:t>
            </w:r>
            <w:r w:rsidR="003F2DBC">
              <w:rPr>
                <w:rFonts w:ascii="ArialNovaLight" w:hAnsi="ArialNovaLight" w:cs="ArialNovaLight"/>
                <w:szCs w:val="22"/>
              </w:rPr>
              <w:t xml:space="preserve"> the waste </w:t>
            </w:r>
            <w:r w:rsidR="00114D43">
              <w:rPr>
                <w:rFonts w:ascii="ArialNovaLight" w:hAnsi="ArialNovaLight" w:cs="ArialNovaLight"/>
                <w:szCs w:val="22"/>
              </w:rPr>
              <w:t xml:space="preserve">chutes at upper levels are </w:t>
            </w:r>
            <w:r w:rsidR="003F2DBC">
              <w:rPr>
                <w:rFonts w:ascii="ArialNovaLight" w:hAnsi="ArialNovaLight" w:cs="ArialNovaLight"/>
                <w:szCs w:val="22"/>
              </w:rPr>
              <w:t xml:space="preserve">in </w:t>
            </w:r>
            <w:r w:rsidR="00114D43">
              <w:rPr>
                <w:rFonts w:ascii="ArialNovaLight" w:hAnsi="ArialNovaLight" w:cs="ArialNovaLight"/>
                <w:szCs w:val="22"/>
              </w:rPr>
              <w:t>accessible</w:t>
            </w:r>
            <w:r w:rsidR="003F2DBC">
              <w:rPr>
                <w:rFonts w:ascii="ArialNovaLight" w:hAnsi="ArialNovaLight" w:cs="ArialNovaLight"/>
                <w:szCs w:val="22"/>
              </w:rPr>
              <w:t xml:space="preserve"> locations</w:t>
            </w:r>
            <w:r w:rsidR="00114D43">
              <w:rPr>
                <w:rFonts w:ascii="ArialNovaLight" w:hAnsi="ArialNovaLight" w:cs="ArialNovaLight"/>
                <w:szCs w:val="22"/>
              </w:rPr>
              <w:t>.</w:t>
            </w:r>
          </w:p>
        </w:tc>
        <w:tc>
          <w:tcPr>
            <w:tcW w:w="1134" w:type="dxa"/>
          </w:tcPr>
          <w:p w14:paraId="4DF30B7E" w14:textId="77777777" w:rsidR="00ED4AC0" w:rsidRDefault="00ED4AC0" w:rsidP="00ED4AC0">
            <w:pPr>
              <w:pStyle w:val="FigureCaption"/>
              <w:spacing w:before="0" w:after="160"/>
              <w:ind w:left="0"/>
              <w:rPr>
                <w:rFonts w:ascii="Arial" w:hAnsi="Arial" w:cs="Arial"/>
                <w:b w:val="0"/>
                <w:color w:val="000000" w:themeColor="text1"/>
                <w:sz w:val="22"/>
                <w:szCs w:val="22"/>
              </w:rPr>
            </w:pPr>
          </w:p>
        </w:tc>
      </w:tr>
    </w:tbl>
    <w:p w14:paraId="02491741" w14:textId="77777777" w:rsidR="00ED4AC0" w:rsidRDefault="00ED4AC0"/>
    <w:p w14:paraId="490DDBC0" w14:textId="77777777" w:rsidR="00EC6B76" w:rsidRDefault="00EC6B76" w:rsidP="00C94E2F"/>
    <w:sectPr w:rsidR="00EC6B76" w:rsidSect="00C94E2F">
      <w:footerReference w:type="first" r:id="rId7"/>
      <w:pgSz w:w="16838" w:h="11906" w:orient="landscape"/>
      <w:pgMar w:top="1701" w:right="1440" w:bottom="1440" w:left="1701" w:header="567" w:footer="567"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C8E6A" w14:textId="77777777" w:rsidR="00952506" w:rsidRDefault="00952506" w:rsidP="00493096">
      <w:pPr>
        <w:spacing w:after="0"/>
      </w:pPr>
      <w:r>
        <w:separator/>
      </w:r>
    </w:p>
  </w:endnote>
  <w:endnote w:type="continuationSeparator" w:id="0">
    <w:p w14:paraId="2442E8B2" w14:textId="77777777" w:rsidR="00952506" w:rsidRDefault="00952506"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ova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827897"/>
      <w:docPartObj>
        <w:docPartGallery w:val="Page Numbers (Bottom of Page)"/>
        <w:docPartUnique/>
      </w:docPartObj>
    </w:sdtPr>
    <w:sdtEndPr>
      <w:rPr>
        <w:noProof/>
      </w:rPr>
    </w:sdtEndPr>
    <w:sdtContent>
      <w:p w14:paraId="256BCDD8" w14:textId="77777777" w:rsidR="00362559" w:rsidRDefault="00362559" w:rsidP="00362559">
        <w:pPr>
          <w:pStyle w:val="Footer"/>
        </w:pPr>
      </w:p>
      <w:sdt>
        <w:sdtPr>
          <w:id w:val="1403416265"/>
          <w:docPartObj>
            <w:docPartGallery w:val="Page Numbers (Bottom of Page)"/>
            <w:docPartUnique/>
          </w:docPartObj>
        </w:sdtPr>
        <w:sdtEndPr>
          <w:rPr>
            <w:noProof/>
          </w:rPr>
        </w:sdtEndPr>
        <w:sdtContent>
          <w:p w14:paraId="33C4A52C" w14:textId="65CE81A4" w:rsidR="00362559" w:rsidRPr="00872E49" w:rsidRDefault="00362559" w:rsidP="00362559">
            <w:pPr>
              <w:pStyle w:val="Footer"/>
            </w:pPr>
            <w:r w:rsidRPr="00872E49">
              <w:rPr>
                <w:noProof/>
              </w:rPr>
              <w:t xml:space="preserve">        </w:t>
            </w:r>
            <w:r w:rsidRPr="00872E49">
              <w:rPr>
                <w:noProof/>
              </w:rPr>
              <w:tab/>
            </w:r>
            <w:r w:rsidR="00A67BC4" w:rsidRPr="00872E49">
              <w:t xml:space="preserve">Page | </w:t>
            </w:r>
            <w:r w:rsidR="00A67BC4" w:rsidRPr="00872E49">
              <w:fldChar w:fldCharType="begin"/>
            </w:r>
            <w:r w:rsidR="00A67BC4" w:rsidRPr="00872E49">
              <w:instrText xml:space="preserve"> PAGE   \* MERGEFORMAT </w:instrText>
            </w:r>
            <w:r w:rsidR="00A67BC4" w:rsidRPr="00872E49">
              <w:fldChar w:fldCharType="separate"/>
            </w:r>
            <w:r w:rsidR="00A67BC4" w:rsidRPr="00872E49">
              <w:t>2</w:t>
            </w:r>
            <w:r w:rsidR="00A67BC4" w:rsidRPr="00872E49">
              <w:rPr>
                <w:noProof/>
              </w:rPr>
              <w:fldChar w:fldCharType="end"/>
            </w:r>
            <w:r w:rsidR="00A67BC4" w:rsidRPr="00872E49">
              <w:rPr>
                <w:noProof/>
              </w:rPr>
              <w:tab/>
              <w:t xml:space="preserve">        </w:t>
            </w:r>
            <w:r w:rsidR="00A67BC4" w:rsidRPr="00872E49">
              <w:rPr>
                <w:noProof/>
              </w:rPr>
              <w:tab/>
              <w:t xml:space="preserve"> </w:t>
            </w:r>
            <w:r w:rsidR="00A67BC4" w:rsidRPr="00872E49">
              <w:rPr>
                <w:rFonts w:cs="Arial"/>
                <w:sz w:val="20"/>
                <w:szCs w:val="20"/>
              </w:rPr>
              <w:t xml:space="preserve">Attachment B: Assessment against SEPP (Housing) 2021 - DA/2899/2021 – 72 Wilsons Road, Mount Hutton      </w:t>
            </w:r>
            <w:r w:rsidR="00A67BC4" w:rsidRPr="00872E49">
              <w:rPr>
                <w:rFonts w:cs="Arial"/>
                <w:sz w:val="20"/>
                <w:szCs w:val="20"/>
              </w:rPr>
              <w:tab/>
            </w:r>
            <w:r w:rsidR="00A67BC4" w:rsidRPr="00872E49">
              <w:rPr>
                <w:rFonts w:cs="Arial"/>
                <w:sz w:val="20"/>
                <w:szCs w:val="20"/>
              </w:rPr>
              <w:tab/>
            </w:r>
            <w:r w:rsidR="00A67BC4" w:rsidRPr="00872E49">
              <w:rPr>
                <w:rFonts w:cs="Arial"/>
                <w:sz w:val="20"/>
                <w:szCs w:val="20"/>
              </w:rPr>
              <w:tab/>
            </w:r>
            <w:r w:rsidRPr="00872E49">
              <w:rPr>
                <w:rFonts w:cs="Arial"/>
                <w:sz w:val="20"/>
                <w:szCs w:val="20"/>
              </w:rPr>
              <w:tab/>
            </w:r>
            <w:r w:rsidRPr="00872E49">
              <w:rPr>
                <w:rFonts w:cs="Arial"/>
                <w:sz w:val="20"/>
                <w:szCs w:val="20"/>
              </w:rPr>
              <w:tab/>
            </w:r>
          </w:p>
          <w:p w14:paraId="1A014A53" w14:textId="77777777" w:rsidR="00C94E2F" w:rsidRDefault="00952506" w:rsidP="00362559">
            <w:pPr>
              <w:pStyle w:val="Footer"/>
              <w:jc w:val="right"/>
            </w:pPr>
          </w:p>
        </w:sdtContent>
      </w:sdt>
    </w:sdtContent>
  </w:sdt>
  <w:p w14:paraId="3E8D149D" w14:textId="77777777" w:rsidR="00C94E2F" w:rsidRDefault="00C94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44349" w14:textId="77777777" w:rsidR="00952506" w:rsidRDefault="00952506" w:rsidP="00493096">
      <w:pPr>
        <w:spacing w:after="0"/>
      </w:pPr>
      <w:r>
        <w:separator/>
      </w:r>
    </w:p>
  </w:footnote>
  <w:footnote w:type="continuationSeparator" w:id="0">
    <w:p w14:paraId="0D7E6212" w14:textId="77777777" w:rsidR="00952506" w:rsidRDefault="00952506"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6730"/>
    <w:multiLevelType w:val="hybridMultilevel"/>
    <w:tmpl w:val="AECC59AE"/>
    <w:lvl w:ilvl="0" w:tplc="6E8A0820">
      <w:start w:val="2"/>
      <w:numFmt w:val="decimal"/>
      <w:lvlText w:val="%1."/>
      <w:lvlJc w:val="left"/>
      <w:pPr>
        <w:ind w:left="9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 w15:restartNumberingAfterBreak="0">
    <w:nsid w:val="0B7A78A4"/>
    <w:multiLevelType w:val="hybridMultilevel"/>
    <w:tmpl w:val="05225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CE236A"/>
    <w:multiLevelType w:val="hybridMultilevel"/>
    <w:tmpl w:val="886065CA"/>
    <w:lvl w:ilvl="0" w:tplc="8DC8BE34">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18DE2B54"/>
    <w:multiLevelType w:val="hybridMultilevel"/>
    <w:tmpl w:val="C9CAEF78"/>
    <w:lvl w:ilvl="0" w:tplc="DB247D16">
      <w:start w:val="15"/>
      <w:numFmt w:val="decimal"/>
      <w:lvlText w:val="%1."/>
      <w:lvlJc w:val="left"/>
      <w:pPr>
        <w:ind w:left="739" w:hanging="360"/>
      </w:pPr>
      <w:rPr>
        <w:rFonts w:hint="default"/>
      </w:rPr>
    </w:lvl>
    <w:lvl w:ilvl="1" w:tplc="0C090019" w:tentative="1">
      <w:start w:val="1"/>
      <w:numFmt w:val="lowerLetter"/>
      <w:lvlText w:val="%2."/>
      <w:lvlJc w:val="left"/>
      <w:pPr>
        <w:ind w:left="1249" w:hanging="360"/>
      </w:pPr>
    </w:lvl>
    <w:lvl w:ilvl="2" w:tplc="0C09001B" w:tentative="1">
      <w:start w:val="1"/>
      <w:numFmt w:val="lowerRoman"/>
      <w:lvlText w:val="%3."/>
      <w:lvlJc w:val="right"/>
      <w:pPr>
        <w:ind w:left="1969" w:hanging="180"/>
      </w:pPr>
    </w:lvl>
    <w:lvl w:ilvl="3" w:tplc="0C09000F" w:tentative="1">
      <w:start w:val="1"/>
      <w:numFmt w:val="decimal"/>
      <w:lvlText w:val="%4."/>
      <w:lvlJc w:val="left"/>
      <w:pPr>
        <w:ind w:left="2689" w:hanging="360"/>
      </w:pPr>
    </w:lvl>
    <w:lvl w:ilvl="4" w:tplc="0C090019" w:tentative="1">
      <w:start w:val="1"/>
      <w:numFmt w:val="lowerLetter"/>
      <w:lvlText w:val="%5."/>
      <w:lvlJc w:val="left"/>
      <w:pPr>
        <w:ind w:left="3409" w:hanging="360"/>
      </w:pPr>
    </w:lvl>
    <w:lvl w:ilvl="5" w:tplc="0C09001B" w:tentative="1">
      <w:start w:val="1"/>
      <w:numFmt w:val="lowerRoman"/>
      <w:lvlText w:val="%6."/>
      <w:lvlJc w:val="right"/>
      <w:pPr>
        <w:ind w:left="4129" w:hanging="180"/>
      </w:pPr>
    </w:lvl>
    <w:lvl w:ilvl="6" w:tplc="0C09000F" w:tentative="1">
      <w:start w:val="1"/>
      <w:numFmt w:val="decimal"/>
      <w:lvlText w:val="%7."/>
      <w:lvlJc w:val="left"/>
      <w:pPr>
        <w:ind w:left="4849" w:hanging="360"/>
      </w:pPr>
    </w:lvl>
    <w:lvl w:ilvl="7" w:tplc="0C090019" w:tentative="1">
      <w:start w:val="1"/>
      <w:numFmt w:val="lowerLetter"/>
      <w:lvlText w:val="%8."/>
      <w:lvlJc w:val="left"/>
      <w:pPr>
        <w:ind w:left="5569" w:hanging="360"/>
      </w:pPr>
    </w:lvl>
    <w:lvl w:ilvl="8" w:tplc="0C09001B" w:tentative="1">
      <w:start w:val="1"/>
      <w:numFmt w:val="lowerRoman"/>
      <w:lvlText w:val="%9."/>
      <w:lvlJc w:val="right"/>
      <w:pPr>
        <w:ind w:left="6289" w:hanging="180"/>
      </w:pPr>
    </w:lvl>
  </w:abstractNum>
  <w:abstractNum w:abstractNumId="5" w15:restartNumberingAfterBreak="0">
    <w:nsid w:val="390C4565"/>
    <w:multiLevelType w:val="hybridMultilevel"/>
    <w:tmpl w:val="F552F380"/>
    <w:lvl w:ilvl="0" w:tplc="C108FD7E">
      <w:start w:val="4"/>
      <w:numFmt w:val="decimal"/>
      <w:lvlText w:val="(%1)"/>
      <w:lvlJc w:val="left"/>
      <w:pPr>
        <w:ind w:left="9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9B058D"/>
    <w:multiLevelType w:val="hybridMultilevel"/>
    <w:tmpl w:val="E53253AE"/>
    <w:lvl w:ilvl="0" w:tplc="0C090001">
      <w:start w:val="1"/>
      <w:numFmt w:val="bullet"/>
      <w:lvlText w:val=""/>
      <w:lvlJc w:val="left"/>
      <w:pPr>
        <w:ind w:left="404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2C477D"/>
    <w:multiLevelType w:val="hybridMultilevel"/>
    <w:tmpl w:val="861E9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10"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9350FB7"/>
    <w:multiLevelType w:val="hybridMultilevel"/>
    <w:tmpl w:val="2326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EDF4027"/>
    <w:multiLevelType w:val="hybridMultilevel"/>
    <w:tmpl w:val="9E2A5D20"/>
    <w:lvl w:ilvl="0" w:tplc="0C090001">
      <w:start w:val="1"/>
      <w:numFmt w:val="bullet"/>
      <w:lvlText w:val=""/>
      <w:lvlJc w:val="left"/>
      <w:pPr>
        <w:ind w:left="1458" w:hanging="360"/>
      </w:pPr>
      <w:rPr>
        <w:rFonts w:ascii="Symbol" w:hAnsi="Symbol"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14" w15:restartNumberingAfterBreak="0">
    <w:nsid w:val="7C5D5468"/>
    <w:multiLevelType w:val="hybridMultilevel"/>
    <w:tmpl w:val="DA5216CC"/>
    <w:lvl w:ilvl="0" w:tplc="3F540996">
      <w:start w:val="2"/>
      <w:numFmt w:val="decimal"/>
      <w:lvlText w:val="(%1)"/>
      <w:lvlJc w:val="left"/>
      <w:pPr>
        <w:ind w:left="9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
  </w:num>
  <w:num w:numId="6">
    <w:abstractNumId w:val="12"/>
  </w:num>
  <w:num w:numId="7">
    <w:abstractNumId w:val="10"/>
  </w:num>
  <w:num w:numId="8">
    <w:abstractNumId w:val="8"/>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1"/>
  </w:num>
  <w:num w:numId="22">
    <w:abstractNumId w:val="12"/>
  </w:num>
  <w:num w:numId="23">
    <w:abstractNumId w:val="10"/>
  </w:num>
  <w:num w:numId="24">
    <w:abstractNumId w:val="8"/>
  </w:num>
  <w:num w:numId="25">
    <w:abstractNumId w:val="9"/>
  </w:num>
  <w:num w:numId="26">
    <w:abstractNumId w:val="9"/>
  </w:num>
  <w:num w:numId="27">
    <w:abstractNumId w:val="9"/>
  </w:num>
  <w:num w:numId="28">
    <w:abstractNumId w:val="9"/>
  </w:num>
  <w:num w:numId="29">
    <w:abstractNumId w:val="1"/>
  </w:num>
  <w:num w:numId="30">
    <w:abstractNumId w:val="12"/>
  </w:num>
  <w:num w:numId="31">
    <w:abstractNumId w:val="10"/>
  </w:num>
  <w:num w:numId="32">
    <w:abstractNumId w:val="8"/>
  </w:num>
  <w:num w:numId="33">
    <w:abstractNumId w:val="2"/>
  </w:num>
  <w:num w:numId="34">
    <w:abstractNumId w:val="3"/>
  </w:num>
  <w:num w:numId="35">
    <w:abstractNumId w:val="14"/>
  </w:num>
  <w:num w:numId="36">
    <w:abstractNumId w:val="5"/>
  </w:num>
  <w:num w:numId="37">
    <w:abstractNumId w:val="0"/>
  </w:num>
  <w:num w:numId="38">
    <w:abstractNumId w:val="4"/>
  </w:num>
  <w:num w:numId="39">
    <w:abstractNumId w:val="11"/>
  </w:num>
  <w:num w:numId="40">
    <w:abstractNumId w:val="6"/>
  </w:num>
  <w:num w:numId="41">
    <w:abstractNumId w:val="1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WithLetterhead" w:val="True"/>
  </w:docVars>
  <w:rsids>
    <w:rsidRoot w:val="00EC6B76"/>
    <w:rsid w:val="00042236"/>
    <w:rsid w:val="00057070"/>
    <w:rsid w:val="00057F1D"/>
    <w:rsid w:val="000D08A5"/>
    <w:rsid w:val="000D1CE9"/>
    <w:rsid w:val="000D7183"/>
    <w:rsid w:val="000E045F"/>
    <w:rsid w:val="000E0F23"/>
    <w:rsid w:val="000E477E"/>
    <w:rsid w:val="000E61BF"/>
    <w:rsid w:val="000F4CC6"/>
    <w:rsid w:val="00112123"/>
    <w:rsid w:val="00114D43"/>
    <w:rsid w:val="001230B3"/>
    <w:rsid w:val="00132236"/>
    <w:rsid w:val="001333E6"/>
    <w:rsid w:val="0015675E"/>
    <w:rsid w:val="0016189F"/>
    <w:rsid w:val="00167169"/>
    <w:rsid w:val="00180E09"/>
    <w:rsid w:val="001A16D5"/>
    <w:rsid w:val="001C28AD"/>
    <w:rsid w:val="001C5115"/>
    <w:rsid w:val="00215A6F"/>
    <w:rsid w:val="002331EE"/>
    <w:rsid w:val="00241430"/>
    <w:rsid w:val="00255BA4"/>
    <w:rsid w:val="00264C91"/>
    <w:rsid w:val="002A1EC2"/>
    <w:rsid w:val="002F55EA"/>
    <w:rsid w:val="002F72F0"/>
    <w:rsid w:val="00312E01"/>
    <w:rsid w:val="003409A9"/>
    <w:rsid w:val="003534C6"/>
    <w:rsid w:val="00362559"/>
    <w:rsid w:val="003731A5"/>
    <w:rsid w:val="00376B2C"/>
    <w:rsid w:val="00380E6D"/>
    <w:rsid w:val="00385918"/>
    <w:rsid w:val="003A16F2"/>
    <w:rsid w:val="003A5502"/>
    <w:rsid w:val="003C7115"/>
    <w:rsid w:val="003D558E"/>
    <w:rsid w:val="003F1F9B"/>
    <w:rsid w:val="003F2DBC"/>
    <w:rsid w:val="004121B8"/>
    <w:rsid w:val="00416663"/>
    <w:rsid w:val="0047093E"/>
    <w:rsid w:val="00471CEA"/>
    <w:rsid w:val="0047210F"/>
    <w:rsid w:val="004771CF"/>
    <w:rsid w:val="00483878"/>
    <w:rsid w:val="00491184"/>
    <w:rsid w:val="00493096"/>
    <w:rsid w:val="00493E71"/>
    <w:rsid w:val="004947B1"/>
    <w:rsid w:val="004B407E"/>
    <w:rsid w:val="004C095E"/>
    <w:rsid w:val="004C4688"/>
    <w:rsid w:val="004F15D5"/>
    <w:rsid w:val="004F516E"/>
    <w:rsid w:val="00501604"/>
    <w:rsid w:val="005059B2"/>
    <w:rsid w:val="005152BA"/>
    <w:rsid w:val="00566FB6"/>
    <w:rsid w:val="00572921"/>
    <w:rsid w:val="00587F92"/>
    <w:rsid w:val="00597228"/>
    <w:rsid w:val="005A2916"/>
    <w:rsid w:val="005C5DDE"/>
    <w:rsid w:val="006004DA"/>
    <w:rsid w:val="00600873"/>
    <w:rsid w:val="00612B19"/>
    <w:rsid w:val="00612B48"/>
    <w:rsid w:val="00614845"/>
    <w:rsid w:val="00653DE2"/>
    <w:rsid w:val="00660C60"/>
    <w:rsid w:val="00687208"/>
    <w:rsid w:val="006968C1"/>
    <w:rsid w:val="006B16EF"/>
    <w:rsid w:val="006D7440"/>
    <w:rsid w:val="006E5492"/>
    <w:rsid w:val="006E6B61"/>
    <w:rsid w:val="006F33BD"/>
    <w:rsid w:val="007226D1"/>
    <w:rsid w:val="00727A77"/>
    <w:rsid w:val="00782256"/>
    <w:rsid w:val="007940E5"/>
    <w:rsid w:val="007B6EED"/>
    <w:rsid w:val="007D1926"/>
    <w:rsid w:val="007D3D38"/>
    <w:rsid w:val="007E5C31"/>
    <w:rsid w:val="007E7F47"/>
    <w:rsid w:val="00872E49"/>
    <w:rsid w:val="00874414"/>
    <w:rsid w:val="00884891"/>
    <w:rsid w:val="008A48FD"/>
    <w:rsid w:val="008B2044"/>
    <w:rsid w:val="008B5891"/>
    <w:rsid w:val="008F7C2A"/>
    <w:rsid w:val="009004F9"/>
    <w:rsid w:val="009047F6"/>
    <w:rsid w:val="0090782B"/>
    <w:rsid w:val="00952506"/>
    <w:rsid w:val="00987B30"/>
    <w:rsid w:val="00994FAD"/>
    <w:rsid w:val="009A6F2C"/>
    <w:rsid w:val="009C3D13"/>
    <w:rsid w:val="009D1CCD"/>
    <w:rsid w:val="009F7C3A"/>
    <w:rsid w:val="00A04737"/>
    <w:rsid w:val="00A270C3"/>
    <w:rsid w:val="00A50DB0"/>
    <w:rsid w:val="00A64771"/>
    <w:rsid w:val="00A650A1"/>
    <w:rsid w:val="00A67BC4"/>
    <w:rsid w:val="00A719AF"/>
    <w:rsid w:val="00A87295"/>
    <w:rsid w:val="00A96FF7"/>
    <w:rsid w:val="00AA393B"/>
    <w:rsid w:val="00AB36DB"/>
    <w:rsid w:val="00B112DD"/>
    <w:rsid w:val="00B31237"/>
    <w:rsid w:val="00B34819"/>
    <w:rsid w:val="00B53F95"/>
    <w:rsid w:val="00B64458"/>
    <w:rsid w:val="00B7207F"/>
    <w:rsid w:val="00B82A1C"/>
    <w:rsid w:val="00B9294C"/>
    <w:rsid w:val="00BA49E2"/>
    <w:rsid w:val="00BF2FF5"/>
    <w:rsid w:val="00BF3AC1"/>
    <w:rsid w:val="00C11B32"/>
    <w:rsid w:val="00C11F69"/>
    <w:rsid w:val="00C14974"/>
    <w:rsid w:val="00C20221"/>
    <w:rsid w:val="00C51B5E"/>
    <w:rsid w:val="00C52980"/>
    <w:rsid w:val="00C56868"/>
    <w:rsid w:val="00C63A2F"/>
    <w:rsid w:val="00C674DB"/>
    <w:rsid w:val="00C764FE"/>
    <w:rsid w:val="00C94387"/>
    <w:rsid w:val="00C94E2F"/>
    <w:rsid w:val="00CA0B46"/>
    <w:rsid w:val="00CA4064"/>
    <w:rsid w:val="00CA6E7B"/>
    <w:rsid w:val="00CF4F24"/>
    <w:rsid w:val="00D40483"/>
    <w:rsid w:val="00D507C0"/>
    <w:rsid w:val="00D60853"/>
    <w:rsid w:val="00D92B16"/>
    <w:rsid w:val="00DB447E"/>
    <w:rsid w:val="00DC04F3"/>
    <w:rsid w:val="00DD3B7A"/>
    <w:rsid w:val="00DE162B"/>
    <w:rsid w:val="00DE7000"/>
    <w:rsid w:val="00DF1AD4"/>
    <w:rsid w:val="00E219DB"/>
    <w:rsid w:val="00E43F12"/>
    <w:rsid w:val="00E50373"/>
    <w:rsid w:val="00E557A5"/>
    <w:rsid w:val="00E562D6"/>
    <w:rsid w:val="00E710A9"/>
    <w:rsid w:val="00E820D7"/>
    <w:rsid w:val="00E860DF"/>
    <w:rsid w:val="00E9250E"/>
    <w:rsid w:val="00EC6B76"/>
    <w:rsid w:val="00ED4025"/>
    <w:rsid w:val="00ED4AC0"/>
    <w:rsid w:val="00F130D5"/>
    <w:rsid w:val="00F13E1C"/>
    <w:rsid w:val="00F71DF3"/>
    <w:rsid w:val="00F80E44"/>
    <w:rsid w:val="00F95692"/>
    <w:rsid w:val="00FA432E"/>
    <w:rsid w:val="00FA58A3"/>
    <w:rsid w:val="00FC0427"/>
    <w:rsid w:val="00FC0826"/>
    <w:rsid w:val="00FC4A85"/>
    <w:rsid w:val="00FC6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D725E"/>
  <w14:discardImageEditingData/>
  <w15:chartTrackingRefBased/>
  <w15:docId w15:val="{CBF5E451-52D7-45E4-9AF3-0D387B5B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13E1C"/>
    <w:pPr>
      <w:spacing w:after="160"/>
      <w:ind w:left="0" w:firstLine="0"/>
    </w:pPr>
    <w:rPr>
      <w:szCs w:val="24"/>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uiPriority w:val="99"/>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28"/>
      </w:numPr>
      <w:spacing w:before="120" w:after="240"/>
    </w:pPr>
  </w:style>
  <w:style w:type="paragraph" w:customStyle="1" w:styleId="NoHeading2">
    <w:name w:val="No Heading 2"/>
    <w:basedOn w:val="Heading2"/>
    <w:next w:val="Normal"/>
    <w:qFormat/>
    <w:rsid w:val="00DD3B7A"/>
    <w:pPr>
      <w:numPr>
        <w:ilvl w:val="1"/>
        <w:numId w:val="28"/>
      </w:numPr>
    </w:pPr>
    <w:rPr>
      <w:szCs w:val="20"/>
    </w:rPr>
  </w:style>
  <w:style w:type="paragraph" w:customStyle="1" w:styleId="NoHeading3">
    <w:name w:val="No Heading 3"/>
    <w:basedOn w:val="Heading3"/>
    <w:next w:val="Normal"/>
    <w:qFormat/>
    <w:rsid w:val="00DD3B7A"/>
    <w:pPr>
      <w:numPr>
        <w:ilvl w:val="2"/>
        <w:numId w:val="28"/>
      </w:numPr>
    </w:pPr>
  </w:style>
  <w:style w:type="paragraph" w:customStyle="1" w:styleId="NoHeading4">
    <w:name w:val="No Heading 4"/>
    <w:basedOn w:val="Heading4"/>
    <w:next w:val="Normal"/>
    <w:qFormat/>
    <w:rsid w:val="00DD3B7A"/>
    <w:pPr>
      <w:numPr>
        <w:ilvl w:val="3"/>
        <w:numId w:val="28"/>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9"/>
      </w:numPr>
    </w:pPr>
    <w:rPr>
      <w:rFonts w:ascii="Arial Bold" w:hAnsi="Arial Bold"/>
      <w:b/>
    </w:rPr>
  </w:style>
  <w:style w:type="paragraph" w:customStyle="1" w:styleId="PathwayCondNo">
    <w:name w:val="PathwayCondNo"/>
    <w:basedOn w:val="Normal"/>
    <w:next w:val="Normal"/>
    <w:rsid w:val="00DD3B7A"/>
    <w:pPr>
      <w:numPr>
        <w:numId w:val="30"/>
      </w:numPr>
    </w:pPr>
    <w:rPr>
      <w:rFonts w:cs="Arial"/>
      <w:b/>
    </w:rPr>
  </w:style>
  <w:style w:type="paragraph" w:customStyle="1" w:styleId="PathwayCondNo1">
    <w:name w:val="PathwayCondNo1"/>
    <w:basedOn w:val="PathwayCondNo"/>
    <w:next w:val="Normal"/>
    <w:rsid w:val="00DD3B7A"/>
    <w:pPr>
      <w:numPr>
        <w:numId w:val="31"/>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32"/>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qFormat/>
    <w:rsid w:val="004C4688"/>
    <w:pPr>
      <w:spacing w:after="60"/>
      <w:ind w:left="851" w:hanging="284"/>
      <w:contextualSpacing/>
    </w:pPr>
  </w:style>
  <w:style w:type="character" w:customStyle="1" w:styleId="FooterChar">
    <w:name w:val="Footer Char"/>
    <w:basedOn w:val="DefaultParagraphFont"/>
    <w:link w:val="Footer"/>
    <w:uiPriority w:val="99"/>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paragraph" w:customStyle="1" w:styleId="FigureCaption">
    <w:name w:val="Figure_Caption"/>
    <w:basedOn w:val="Caption"/>
    <w:link w:val="FigureCaptionChar"/>
    <w:qFormat/>
    <w:rsid w:val="00EC6B76"/>
    <w:pPr>
      <w:spacing w:before="280"/>
      <w:ind w:left="680"/>
      <w:jc w:val="center"/>
    </w:pPr>
    <w:rPr>
      <w:rFonts w:asciiTheme="minorHAnsi" w:eastAsiaTheme="minorEastAsia" w:hAnsiTheme="minorHAnsi" w:cstheme="minorBidi"/>
      <w:b/>
      <w:i w:val="0"/>
      <w:sz w:val="20"/>
      <w:lang w:val="en-GB" w:eastAsia="zh-CN"/>
    </w:rPr>
  </w:style>
  <w:style w:type="character" w:customStyle="1" w:styleId="FigureCaptionChar">
    <w:name w:val="Figure_Caption Char"/>
    <w:basedOn w:val="DefaultParagraphFont"/>
    <w:link w:val="FigureCaption"/>
    <w:rsid w:val="00EC6B76"/>
    <w:rPr>
      <w:rFonts w:asciiTheme="minorHAnsi" w:eastAsiaTheme="minorEastAsia" w:hAnsiTheme="minorHAnsi" w:cstheme="minorBidi"/>
      <w:b/>
      <w:iCs/>
      <w:color w:val="1F497D" w:themeColor="text2"/>
      <w:sz w:val="20"/>
      <w:szCs w:val="18"/>
      <w:lang w:val="en-GB" w:eastAsia="zh-CN"/>
    </w:rPr>
  </w:style>
  <w:style w:type="paragraph" w:styleId="Caption">
    <w:name w:val="caption"/>
    <w:basedOn w:val="Normal"/>
    <w:next w:val="Normal"/>
    <w:semiHidden/>
    <w:unhideWhenUsed/>
    <w:qFormat/>
    <w:rsid w:val="00EC6B76"/>
    <w:pPr>
      <w:spacing w:after="200"/>
    </w:pPr>
    <w:rPr>
      <w:i/>
      <w:iCs/>
      <w:color w:val="1F497D" w:themeColor="text2"/>
      <w:sz w:val="18"/>
      <w:szCs w:val="18"/>
    </w:rPr>
  </w:style>
  <w:style w:type="character" w:styleId="CommentReference">
    <w:name w:val="annotation reference"/>
    <w:uiPriority w:val="99"/>
    <w:semiHidden/>
    <w:rsid w:val="00ED4AC0"/>
    <w:rPr>
      <w:rFonts w:ascii="Arial" w:hAnsi="Arial"/>
      <w:dstrike w:val="0"/>
      <w:color w:val="auto"/>
      <w:sz w:val="16"/>
      <w:vertAlign w:val="baseline"/>
    </w:rPr>
  </w:style>
  <w:style w:type="paragraph" w:styleId="CommentText">
    <w:name w:val="annotation text"/>
    <w:basedOn w:val="Normal"/>
    <w:link w:val="CommentTextChar"/>
    <w:uiPriority w:val="99"/>
    <w:rsid w:val="00ED4AC0"/>
    <w:rPr>
      <w:sz w:val="20"/>
      <w:szCs w:val="20"/>
    </w:rPr>
  </w:style>
  <w:style w:type="character" w:customStyle="1" w:styleId="CommentTextChar">
    <w:name w:val="Comment Text Char"/>
    <w:basedOn w:val="DefaultParagraphFont"/>
    <w:link w:val="CommentText"/>
    <w:uiPriority w:val="99"/>
    <w:rsid w:val="00ED4AC0"/>
    <w:rPr>
      <w:sz w:val="20"/>
      <w:szCs w:val="20"/>
    </w:rPr>
  </w:style>
  <w:style w:type="paragraph" w:styleId="BalloonText">
    <w:name w:val="Balloon Text"/>
    <w:basedOn w:val="Normal"/>
    <w:link w:val="BalloonTextChar"/>
    <w:rsid w:val="00ED4AC0"/>
    <w:pPr>
      <w:spacing w:after="0"/>
    </w:pPr>
    <w:rPr>
      <w:rFonts w:ascii="Segoe UI" w:hAnsi="Segoe UI" w:cs="Segoe UI"/>
      <w:sz w:val="18"/>
      <w:szCs w:val="18"/>
    </w:rPr>
  </w:style>
  <w:style w:type="character" w:customStyle="1" w:styleId="BalloonTextChar">
    <w:name w:val="Balloon Text Char"/>
    <w:basedOn w:val="DefaultParagraphFont"/>
    <w:link w:val="BalloonText"/>
    <w:rsid w:val="00ED4AC0"/>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ED4AC0"/>
    <w:rPr>
      <w:b/>
      <w:bCs/>
    </w:rPr>
  </w:style>
  <w:style w:type="character" w:customStyle="1" w:styleId="CommentSubjectChar">
    <w:name w:val="Comment Subject Char"/>
    <w:basedOn w:val="CommentTextChar"/>
    <w:link w:val="CommentSubject"/>
    <w:semiHidden/>
    <w:rsid w:val="00ED4A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1131</Words>
  <Characters>6325</Characters>
  <Application>Microsoft Office Word</Application>
  <DocSecurity>0</DocSecurity>
  <Lines>140</Lines>
  <Paragraphs>84</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Keech</dc:creator>
  <cp:keywords/>
  <dc:description/>
  <cp:lastModifiedBy>Amy Regado</cp:lastModifiedBy>
  <cp:revision>10</cp:revision>
  <cp:lastPrinted>2020-01-17T05:21:00Z</cp:lastPrinted>
  <dcterms:created xsi:type="dcterms:W3CDTF">2022-05-02T03:08:00Z</dcterms:created>
  <dcterms:modified xsi:type="dcterms:W3CDTF">2022-05-03T03:10:00Z</dcterms:modified>
</cp:coreProperties>
</file>